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03DBA" w14:textId="77777777" w:rsidR="00252830" w:rsidRPr="00B00AF9" w:rsidRDefault="00252830" w:rsidP="00252830">
      <w:pPr>
        <w:spacing w:after="0" w:line="240" w:lineRule="auto"/>
        <w:jc w:val="center"/>
        <w:rPr>
          <w:rFonts w:cs="Calibri"/>
          <w:b/>
        </w:rPr>
      </w:pPr>
      <w:bookmarkStart w:id="0" w:name="_GoBack"/>
      <w:bookmarkEnd w:id="0"/>
      <w:r w:rsidRPr="00B00AF9">
        <w:rPr>
          <w:rFonts w:cs="Calibri"/>
          <w:b/>
        </w:rPr>
        <w:t>ΕΡΕΥΝΑ ΑΓΟΡΑΣ ΓΙΑ ΠΡΟΜΗΘΕΙΑ ΥΠΗΡΕΣΙΩΝ 1. ΤΗΛΕΠΙΚΟΙΝΩΝΙΑ</w:t>
      </w:r>
      <w:r>
        <w:rPr>
          <w:rFonts w:cs="Calibri"/>
          <w:b/>
        </w:rPr>
        <w:t>Σ</w:t>
      </w:r>
      <w:r w:rsidRPr="00B00AF9">
        <w:rPr>
          <w:rFonts w:cs="Calibri"/>
          <w:b/>
        </w:rPr>
        <w:t xml:space="preserve">: Α) ΣΤΑΘΕΡΗΣ ΤΗΛΕΦΩΝΙΑΣ, Β) ΔΙΑΔΙΚΤΥΟΥ, Γ) ΚΙΝΗΤΗΣ ΤΗΛΕΦΩΝΙΑΣ 2. ΦΙΛΟΞΕΝΙΑΣ &amp; ΥΠΟΣΤΗΡΙΞΗΣ ΤΟΥ ΙΣΤΟΤΟΠΟΥ </w:t>
      </w:r>
      <w:hyperlink r:id="rId8" w:history="1">
        <w:r w:rsidRPr="00B00AF9">
          <w:rPr>
            <w:rStyle w:val="-"/>
            <w:rFonts w:cs="Calibri"/>
            <w:b/>
            <w:lang w:val="en-US"/>
          </w:rPr>
          <w:t>www</w:t>
        </w:r>
        <w:r w:rsidRPr="00B00AF9">
          <w:rPr>
            <w:rStyle w:val="-"/>
            <w:rFonts w:cs="Calibri"/>
            <w:b/>
          </w:rPr>
          <w:t>.</w:t>
        </w:r>
        <w:proofErr w:type="spellStart"/>
        <w:r w:rsidRPr="00B00AF9">
          <w:rPr>
            <w:rStyle w:val="-"/>
            <w:rFonts w:cs="Calibri"/>
            <w:b/>
            <w:lang w:val="en-US"/>
          </w:rPr>
          <w:t>athina</w:t>
        </w:r>
        <w:proofErr w:type="spellEnd"/>
        <w:r w:rsidRPr="00B00AF9">
          <w:rPr>
            <w:rStyle w:val="-"/>
            <w:rFonts w:cs="Calibri"/>
            <w:b/>
          </w:rPr>
          <w:t>984.</w:t>
        </w:r>
        <w:r w:rsidRPr="00B00AF9">
          <w:rPr>
            <w:rStyle w:val="-"/>
            <w:rFonts w:cs="Calibri"/>
            <w:b/>
            <w:lang w:val="en-US"/>
          </w:rPr>
          <w:t>gr</w:t>
        </w:r>
      </w:hyperlink>
      <w:r w:rsidRPr="00B00AF9">
        <w:rPr>
          <w:rFonts w:cs="Calibri"/>
          <w:b/>
        </w:rPr>
        <w:t xml:space="preserve">, </w:t>
      </w:r>
      <w:r w:rsidRPr="00B00AF9">
        <w:rPr>
          <w:rFonts w:cs="Calibri"/>
          <w:b/>
          <w:lang w:val="en-US"/>
        </w:rPr>
        <w:t>MAIL</w:t>
      </w:r>
      <w:r w:rsidRPr="00B00AF9">
        <w:rPr>
          <w:rFonts w:cs="Calibri"/>
          <w:b/>
        </w:rPr>
        <w:t xml:space="preserve">, ΑΔΕΙΩΝ ΧΡΗΣΗΣ </w:t>
      </w:r>
      <w:r w:rsidRPr="00B00AF9">
        <w:rPr>
          <w:rFonts w:cs="Calibri"/>
          <w:b/>
          <w:lang w:val="en-US"/>
        </w:rPr>
        <w:t>MICROSOFT</w:t>
      </w:r>
      <w:r w:rsidRPr="00B00AF9">
        <w:rPr>
          <w:rFonts w:cs="Calibri"/>
          <w:b/>
        </w:rPr>
        <w:t xml:space="preserve"> </w:t>
      </w:r>
      <w:r w:rsidRPr="00B00AF9">
        <w:rPr>
          <w:rFonts w:cs="Calibri"/>
          <w:b/>
          <w:lang w:val="en-US"/>
        </w:rPr>
        <w:t>OFFICE</w:t>
      </w:r>
      <w:r w:rsidRPr="00B00AF9">
        <w:rPr>
          <w:rFonts w:cs="Calibri"/>
          <w:b/>
        </w:rPr>
        <w:t xml:space="preserve"> 365 ΓΙΑ ΕΝΑ ΕΤΟΣ ΑΠΟ ΤΗΝ 22</w:t>
      </w:r>
      <w:r w:rsidRPr="00B00AF9">
        <w:rPr>
          <w:rFonts w:cs="Calibri"/>
          <w:b/>
          <w:vertAlign w:val="superscript"/>
        </w:rPr>
        <w:t>Η</w:t>
      </w:r>
      <w:r w:rsidRPr="00B00AF9">
        <w:rPr>
          <w:rFonts w:cs="Calibri"/>
          <w:b/>
        </w:rPr>
        <w:t xml:space="preserve"> ΟΚΤΩΒΡΙΟΥ 2019 ΕΩΣ ΤΗΝ 22</w:t>
      </w:r>
      <w:r w:rsidRPr="00B00AF9">
        <w:rPr>
          <w:rFonts w:cs="Calibri"/>
          <w:b/>
          <w:vertAlign w:val="superscript"/>
        </w:rPr>
        <w:t>Η</w:t>
      </w:r>
      <w:r w:rsidRPr="00B00AF9">
        <w:rPr>
          <w:rFonts w:cs="Calibri"/>
          <w:b/>
        </w:rPr>
        <w:t xml:space="preserve"> ΟΚΤΩΒΡΙΟΥ 2020. </w:t>
      </w:r>
    </w:p>
    <w:p w14:paraId="205CCEEE" w14:textId="77777777" w:rsidR="00252830" w:rsidRPr="00B00AF9" w:rsidRDefault="00252830" w:rsidP="00252830">
      <w:pPr>
        <w:spacing w:after="0" w:line="240" w:lineRule="auto"/>
        <w:jc w:val="both"/>
        <w:rPr>
          <w:rFonts w:cs="Calibri"/>
        </w:rPr>
      </w:pPr>
    </w:p>
    <w:p w14:paraId="237B4971" w14:textId="77777777" w:rsidR="00252830" w:rsidRPr="00B00AF9" w:rsidRDefault="00252830" w:rsidP="00252830">
      <w:pPr>
        <w:spacing w:after="0" w:line="240" w:lineRule="auto"/>
        <w:jc w:val="both"/>
        <w:rPr>
          <w:rFonts w:cs="Calibri"/>
        </w:rPr>
      </w:pPr>
      <w:r w:rsidRPr="00B00AF9">
        <w:rPr>
          <w:rFonts w:cs="Calibri"/>
        </w:rPr>
        <w:t xml:space="preserve">Στο πλαίσιο διενεργούμενης από την Επιχείρησή μας έρευνας αγοράς, προκειμένου να διαπιστωθεί το επίπεδο του υφιστάμενου ανταγωνισμού στον τομέα της προμήθειας υπηρεσιών </w:t>
      </w:r>
      <w:r w:rsidRPr="00EF2843">
        <w:rPr>
          <w:rFonts w:cs="Calibri"/>
          <w:b/>
          <w:bCs/>
        </w:rPr>
        <w:t>«</w:t>
      </w:r>
      <w:r w:rsidRPr="00EF2843">
        <w:rPr>
          <w:rStyle w:val="normaltextrun"/>
          <w:rFonts w:cs="Calibri"/>
          <w:b/>
          <w:bCs/>
          <w:color w:val="000000"/>
          <w:shd w:val="clear" w:color="auto" w:fill="FFFFFF"/>
        </w:rPr>
        <w:t>Τηλεπικοινωνίας: α) σταθερής τηλεφωνίας, β) διαδικτύου, γ) κινητής τηλεφωνίας. Φιλοξενίας &amp; υποστήριξης του </w:t>
      </w:r>
      <w:proofErr w:type="spellStart"/>
      <w:r w:rsidRPr="00EF2843">
        <w:rPr>
          <w:rStyle w:val="spellingerror"/>
          <w:rFonts w:eastAsia="Cambria" w:cs="Calibri"/>
          <w:b/>
          <w:bCs/>
          <w:color w:val="000000"/>
          <w:shd w:val="clear" w:color="auto" w:fill="FFFFFF"/>
        </w:rPr>
        <w:t>ιστότοπου</w:t>
      </w:r>
      <w:proofErr w:type="spellEnd"/>
      <w:r w:rsidRPr="00EF2843">
        <w:rPr>
          <w:rStyle w:val="normaltextrun"/>
          <w:rFonts w:cs="Calibri"/>
          <w:b/>
          <w:bCs/>
          <w:color w:val="000000"/>
          <w:shd w:val="clear" w:color="auto" w:fill="FFFFFF"/>
        </w:rPr>
        <w:t> www.athina984.gr, </w:t>
      </w:r>
      <w:proofErr w:type="spellStart"/>
      <w:r w:rsidRPr="00EF2843">
        <w:rPr>
          <w:rStyle w:val="spellingerror"/>
          <w:rFonts w:eastAsia="Cambria" w:cs="Calibri"/>
          <w:b/>
          <w:bCs/>
          <w:color w:val="000000"/>
          <w:shd w:val="clear" w:color="auto" w:fill="FFFFFF"/>
        </w:rPr>
        <w:t>mail</w:t>
      </w:r>
      <w:proofErr w:type="spellEnd"/>
      <w:r w:rsidRPr="00EF2843">
        <w:rPr>
          <w:rStyle w:val="normaltextrun"/>
          <w:rFonts w:cs="Calibri"/>
          <w:b/>
          <w:bCs/>
          <w:color w:val="000000"/>
          <w:shd w:val="clear" w:color="auto" w:fill="FFFFFF"/>
        </w:rPr>
        <w:t>, αδειών χρήσης Microsoft </w:t>
      </w:r>
      <w:proofErr w:type="spellStart"/>
      <w:r w:rsidRPr="00EF2843">
        <w:rPr>
          <w:rStyle w:val="spellingerror"/>
          <w:rFonts w:eastAsia="Cambria" w:cs="Calibri"/>
          <w:b/>
          <w:bCs/>
          <w:color w:val="000000"/>
          <w:shd w:val="clear" w:color="auto" w:fill="FFFFFF"/>
        </w:rPr>
        <w:t>office</w:t>
      </w:r>
      <w:proofErr w:type="spellEnd"/>
      <w:r w:rsidRPr="00EF2843">
        <w:rPr>
          <w:rStyle w:val="normaltextrun"/>
          <w:rFonts w:cs="Calibri"/>
          <w:b/>
          <w:bCs/>
          <w:color w:val="000000"/>
          <w:shd w:val="clear" w:color="auto" w:fill="FFFFFF"/>
        </w:rPr>
        <w:t> 365   για ένα έτος από την 22η Οκτωβρίου 2019 έως την 22</w:t>
      </w:r>
      <w:r w:rsidRPr="00EF2843">
        <w:rPr>
          <w:rStyle w:val="normaltextrun"/>
          <w:rFonts w:cs="Calibri"/>
          <w:b/>
          <w:bCs/>
          <w:color w:val="000000"/>
          <w:shd w:val="clear" w:color="auto" w:fill="FFFFFF"/>
          <w:vertAlign w:val="superscript"/>
        </w:rPr>
        <w:t>η</w:t>
      </w:r>
      <w:r w:rsidRPr="00EF2843">
        <w:rPr>
          <w:rStyle w:val="normaltextrun"/>
          <w:rFonts w:cs="Calibri"/>
          <w:b/>
          <w:bCs/>
          <w:color w:val="000000"/>
          <w:shd w:val="clear" w:color="auto" w:fill="FFFFFF"/>
        </w:rPr>
        <w:t> Οκτωβρίου 2020</w:t>
      </w:r>
      <w:r w:rsidRPr="00EF2843">
        <w:rPr>
          <w:rFonts w:cs="Calibri"/>
          <w:b/>
        </w:rPr>
        <w:t>»</w:t>
      </w:r>
      <w:r w:rsidRPr="00EF2843">
        <w:rPr>
          <w:rFonts w:cs="Calibri"/>
        </w:rPr>
        <w:t>,</w:t>
      </w:r>
      <w:r w:rsidRPr="00B00AF9">
        <w:rPr>
          <w:rFonts w:cs="Calibri"/>
        </w:rPr>
        <w:t xml:space="preserve"> ώστε στη συνέχεια να εξεταστεί η ανάθεση της προμήθειας  αυτών, καλείται κάθε ενδιαφερόμενος οικονομικός φορέας, φυσικό ή νομικό πρόσωπο, να αποστείλει, μέσω ηλεκτρονικού ταχυδρομείου στη διεύθυνση: </w:t>
      </w:r>
      <w:hyperlink r:id="rId9" w:history="1">
        <w:r w:rsidRPr="00B00AF9">
          <w:rPr>
            <w:rStyle w:val="-"/>
            <w:rFonts w:cs="Calibri"/>
          </w:rPr>
          <w:t>oikonomikes_protaseis@athina984.gr</w:t>
        </w:r>
      </w:hyperlink>
      <w:r w:rsidRPr="00B00AF9">
        <w:rPr>
          <w:rFonts w:cs="Calibri"/>
        </w:rPr>
        <w:t xml:space="preserve">, ενδεικτικές τιμές στις οποίες θα διέθετε προς την Επιχείρηση </w:t>
      </w:r>
      <w:r>
        <w:rPr>
          <w:rFonts w:cs="Calibri"/>
        </w:rPr>
        <w:t xml:space="preserve">τις </w:t>
      </w:r>
      <w:r w:rsidRPr="00B00AF9">
        <w:rPr>
          <w:rFonts w:cs="Calibri"/>
        </w:rPr>
        <w:t>ακόλουθ</w:t>
      </w:r>
      <w:r>
        <w:rPr>
          <w:rFonts w:cs="Calibri"/>
        </w:rPr>
        <w:t>ες υπηρεσίες</w:t>
      </w:r>
      <w:r w:rsidRPr="00B00AF9">
        <w:rPr>
          <w:rFonts w:cs="Calibri"/>
        </w:rPr>
        <w:t>, ενταγμέν</w:t>
      </w:r>
      <w:r>
        <w:rPr>
          <w:rFonts w:cs="Calibri"/>
        </w:rPr>
        <w:t>ες</w:t>
      </w:r>
      <w:r w:rsidRPr="00B00AF9">
        <w:rPr>
          <w:rFonts w:cs="Calibri"/>
        </w:rPr>
        <w:t xml:space="preserve"> σε ενιαία σύμβαση: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86"/>
        <w:gridCol w:w="6237"/>
      </w:tblGrid>
      <w:tr w:rsidR="00252830" w:rsidRPr="00B75644" w14:paraId="4F4FC227" w14:textId="77777777" w:rsidTr="009427B2">
        <w:trPr>
          <w:trHeight w:val="25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280A" w14:textId="08E69DA3" w:rsidR="00252830" w:rsidRPr="00B75644" w:rsidRDefault="00252830" w:rsidP="007E685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Σύντομη περιγραφή</w:t>
            </w:r>
          </w:p>
        </w:tc>
      </w:tr>
      <w:tr w:rsidR="00252830" w:rsidRPr="00B75644" w14:paraId="5FEACFD4" w14:textId="77777777" w:rsidTr="009427B2">
        <w:trPr>
          <w:trHeight w:val="25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DD4A" w14:textId="74611AD8" w:rsidR="0F108594" w:rsidRDefault="0F108594" w:rsidP="0F108594">
            <w:pPr>
              <w:pStyle w:val="a3"/>
              <w:numPr>
                <w:ilvl w:val="0"/>
                <w:numId w:val="6"/>
              </w:numPr>
              <w:jc w:val="both"/>
              <w:rPr>
                <w:b/>
                <w:bCs/>
                <w:sz w:val="20"/>
                <w:szCs w:val="20"/>
              </w:rPr>
            </w:pPr>
            <w:r w:rsidRPr="0F108594">
              <w:rPr>
                <w:rFonts w:eastAsia="Calibri" w:cs="Calibri"/>
                <w:b/>
                <w:bCs/>
                <w:sz w:val="20"/>
                <w:szCs w:val="20"/>
              </w:rPr>
              <w:t>ΠΡΟΜΗΘΕΙΑ ΥΠΗΡΕΣΙΩΝ ΤΗΛΕΠΙΚΟΙΝΩΝΙΑΣ:</w:t>
            </w:r>
          </w:p>
          <w:p w14:paraId="6189C2DF" w14:textId="56C4882C" w:rsidR="0F108594" w:rsidRDefault="0F108594" w:rsidP="0F108594">
            <w:pPr>
              <w:ind w:left="360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0B0CE36B" w14:textId="5CE29263" w:rsidR="00252830" w:rsidRDefault="00252830" w:rsidP="00252830">
            <w:pPr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7564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Α) Σταθερή τηλεφωνία</w:t>
            </w:r>
          </w:p>
          <w:p w14:paraId="4E1C7885" w14:textId="77777777" w:rsidR="00252830" w:rsidRPr="00B75644" w:rsidRDefault="00252830" w:rsidP="00252830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Συνδέσεις Πρωτεύουσας Πρόσβασης PRI με 30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διοδεύσεις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(B-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channel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) των 64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kbps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για ισάριθμες ταυτόχρονες επικοινωνίες των συνδρομητών του Τηλεφωνικού Κέντρου της επιχείρησης και μία (D-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channel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) των 64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kbps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για τη σηματοδοσία του ISDN (30 B + D). Τα γενικά χαρακτηριστικά γραμμής PRI:</w:t>
            </w:r>
          </w:p>
          <w:p w14:paraId="35486746" w14:textId="77777777" w:rsidR="00252830" w:rsidRPr="00B75644" w:rsidRDefault="00252830" w:rsidP="00252830">
            <w:pPr>
              <w:numPr>
                <w:ilvl w:val="1"/>
                <w:numId w:val="4"/>
              </w:numPr>
              <w:snapToGrid w:val="0"/>
              <w:spacing w:after="0" w:line="240" w:lineRule="auto"/>
              <w:ind w:left="18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30 κανάλια φωνής ταυτόχρονης επικοινωνίας συνολικά (εισερχόμενης ή εξερχόμενης).</w:t>
            </w:r>
          </w:p>
          <w:p w14:paraId="35AEC3EB" w14:textId="77777777" w:rsidR="00252830" w:rsidRPr="00B75644" w:rsidRDefault="00252830" w:rsidP="00252830">
            <w:pPr>
              <w:numPr>
                <w:ilvl w:val="1"/>
                <w:numId w:val="4"/>
              </w:numPr>
              <w:snapToGrid w:val="0"/>
              <w:spacing w:after="0" w:line="240" w:lineRule="auto"/>
              <w:ind w:left="18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σύνδεση στο τηλεφωνικό κέντρο (PBX) της επιχείρησης, που μπορεί να καλείται με  διαφορετικούς αριθμούς. Οι συσκευές που συνδέονται σ' αυτό να μπορούν να κληθούν απ' ευθείας.</w:t>
            </w:r>
          </w:p>
          <w:p w14:paraId="0C9EDFE6" w14:textId="77777777" w:rsidR="00252830" w:rsidRPr="00B75644" w:rsidRDefault="00252830" w:rsidP="00252830">
            <w:pPr>
              <w:numPr>
                <w:ilvl w:val="1"/>
                <w:numId w:val="4"/>
              </w:numPr>
              <w:snapToGrid w:val="0"/>
              <w:spacing w:after="0" w:line="240" w:lineRule="auto"/>
              <w:ind w:left="18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δυνατότητα χρήσης συμπληρωματικών υπηρεσιών (πχ. αναγνώριση κλήσεων, φραγές, προώθηση κ.λπ.).</w:t>
            </w:r>
          </w:p>
          <w:p w14:paraId="46001FA5" w14:textId="77777777" w:rsidR="00252830" w:rsidRPr="00B75644" w:rsidRDefault="00252830" w:rsidP="00252830">
            <w:pPr>
              <w:numPr>
                <w:ilvl w:val="1"/>
                <w:numId w:val="4"/>
              </w:numPr>
              <w:snapToGrid w:val="0"/>
              <w:spacing w:after="0" w:line="240" w:lineRule="auto"/>
              <w:ind w:left="18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πρωτόκολλο επικοινωνίας σύμφωνα με το διεθνές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standard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Euro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ISDN PRI ITU-T Q.931.</w:t>
            </w:r>
          </w:p>
          <w:p w14:paraId="0DCAD369" w14:textId="77777777" w:rsidR="00252830" w:rsidRPr="00B75644" w:rsidRDefault="00252830" w:rsidP="00252830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Η τιμολόγηση να είναι ανά δευτερόλεπτο για όλες τις κλήσεις.</w:t>
            </w:r>
          </w:p>
          <w:p w14:paraId="391D2E26" w14:textId="77777777" w:rsidR="00252830" w:rsidRPr="00B75644" w:rsidRDefault="00252830" w:rsidP="00252830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Υπηρεσία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φορητότητας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γεωγραφικών αριθμών για μεταφορά τηλεφωνικών αριθμών.</w:t>
            </w:r>
          </w:p>
          <w:p w14:paraId="2F803AD4" w14:textId="77777777" w:rsidR="00252830" w:rsidRPr="00B75644" w:rsidRDefault="00252830" w:rsidP="00252830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Μελέτη και σχεδιασμός της λύσης για την εγκατάσταση του απαραίτητου τηλεπικοινωνιακού εξοπλισμού και την ολοκλήρωση των υπηρεσιών με τις υπάρχουσες τηλεπικοινωνιακές υποδομές της επιχείρησης.</w:t>
            </w:r>
          </w:p>
          <w:p w14:paraId="655D9461" w14:textId="77777777" w:rsidR="00252830" w:rsidRPr="00B75644" w:rsidRDefault="00252830" w:rsidP="00252830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Διεπιλογή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εισόδου ώστε κάθε τερματική συσκευή να έχει διαφορετικό αριθμό απ' ευθείας κλήσης.</w:t>
            </w:r>
          </w:p>
          <w:p w14:paraId="52124460" w14:textId="77777777" w:rsidR="00252830" w:rsidRPr="00B75644" w:rsidRDefault="00252830" w:rsidP="00252830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Πολλαπλός συνδρομητικός αριθμός, ώστε στη σύνδεση να παρέχονται περισσότεροι από ένας αριθμοί         κλήσης και κάθε αριθμός να μπορεί να οριστεί σε χωριστή εσωτερική συσκευή του τηλεφωνικού κέντρου.</w:t>
            </w:r>
          </w:p>
          <w:p w14:paraId="21D5E960" w14:textId="77777777" w:rsidR="00252830" w:rsidRPr="00B75644" w:rsidRDefault="00252830" w:rsidP="00252830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Άμεση Εκτροπή κλήσης ώστε να υπάρχει η δυνατότητα εκτροπής κλήσεων σε άλλο αριθμό της επιλογής μας.</w:t>
            </w:r>
          </w:p>
          <w:p w14:paraId="144532F5" w14:textId="77777777" w:rsidR="00252830" w:rsidRPr="00B75644" w:rsidRDefault="00252830" w:rsidP="00252830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Αναλυτική Χρέωση ανά έκδοση λογαριασμού.</w:t>
            </w:r>
          </w:p>
          <w:p w14:paraId="3DC09754" w14:textId="77777777" w:rsidR="00252830" w:rsidRPr="00B75644" w:rsidRDefault="00252830" w:rsidP="00252830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Παρουσίαση Ταυτότητας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καλούντος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συνδρομητή να υπάρχει η δυνατότητα να βλέπουμε τον αριθμό του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καλούντος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στην οθόνη του τηλεφώνου.</w:t>
            </w:r>
          </w:p>
          <w:p w14:paraId="207A3F71" w14:textId="77777777" w:rsidR="00252830" w:rsidRPr="00B75644" w:rsidRDefault="00252830" w:rsidP="00252830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Απαγόρευση Παρουσίασης Ταυτότητας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καλούντος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συνδρομητή να έχουμε τη δυνατότητα να εμποδίζουμε την εμφάνιση του αριθμού μας, στην οθόνη αυτών που καλούμε.</w:t>
            </w:r>
          </w:p>
          <w:p w14:paraId="0CE0A84C" w14:textId="77777777" w:rsidR="00252830" w:rsidRPr="00B75644" w:rsidRDefault="00252830" w:rsidP="00252830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Παρουσίαση Ταυτότητας συνδεδεμένου αριθμού ώστε να έχουμε τη δυνατότητα να βλέπουμε στην οθόνη της τηλεφωνικής συσκευής μας τον αριθμό τον οποίον έχουμε καλέσει και συνομιλούμε.</w:t>
            </w:r>
          </w:p>
          <w:p w14:paraId="21A521B6" w14:textId="77777777" w:rsidR="00252830" w:rsidRPr="00B75644" w:rsidRDefault="00252830" w:rsidP="00252830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Απαγόρευση Παρουσίασης Ταυτότητας συνδεδεμένου. </w:t>
            </w:r>
          </w:p>
          <w:p w14:paraId="570AFC23" w14:textId="77777777" w:rsidR="00252830" w:rsidRPr="00B75644" w:rsidRDefault="00252830" w:rsidP="00252830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Φραγή εξερχόμενων κλήσεων.</w:t>
            </w:r>
          </w:p>
          <w:p w14:paraId="404910F6" w14:textId="77777777" w:rsidR="00252830" w:rsidRPr="00B75644" w:rsidRDefault="00252830" w:rsidP="00252830">
            <w:pPr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457E16A2" w14:textId="77777777" w:rsidR="00252830" w:rsidRPr="00B75644" w:rsidRDefault="00252830" w:rsidP="00252830">
            <w:pPr>
              <w:numPr>
                <w:ilvl w:val="0"/>
                <w:numId w:val="1"/>
              </w:numPr>
              <w:tabs>
                <w:tab w:val="num" w:pos="1080"/>
              </w:tabs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Χωρητικότητα: 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2 PRI (2Χ30=60 κανάλια) με ανεξάρτητα κυκλώματα και δύο τερματικά (</w:t>
            </w:r>
            <w:proofErr w:type="spellStart"/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router</w:t>
            </w:r>
            <w:proofErr w:type="spellEnd"/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), ένα για κάθε PRI</w:t>
            </w:r>
          </w:p>
          <w:p w14:paraId="11372B35" w14:textId="77777777" w:rsidR="00252830" w:rsidRPr="00B75644" w:rsidRDefault="00252830" w:rsidP="00252830">
            <w:pPr>
              <w:numPr>
                <w:ilvl w:val="0"/>
                <w:numId w:val="1"/>
              </w:numPr>
              <w:tabs>
                <w:tab w:val="num" w:pos="1080"/>
              </w:tabs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Κύκλωμα: 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Οπτική ίνα DA-DH</w:t>
            </w:r>
          </w:p>
          <w:p w14:paraId="0C814861" w14:textId="77777777" w:rsidR="00252830" w:rsidRPr="00B75644" w:rsidRDefault="00252830" w:rsidP="00252830">
            <w:pPr>
              <w:numPr>
                <w:ilvl w:val="0"/>
                <w:numId w:val="1"/>
              </w:numPr>
              <w:tabs>
                <w:tab w:val="num" w:pos="1080"/>
              </w:tabs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Φορητότητα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από άλλο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πάροχο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ΧΩΡΙΣ ΧΡΕΩΣΗ</w:t>
            </w:r>
          </w:p>
          <w:p w14:paraId="56C26696" w14:textId="77777777" w:rsidR="00252830" w:rsidRPr="00B75644" w:rsidRDefault="00252830" w:rsidP="00252830">
            <w:pPr>
              <w:numPr>
                <w:ilvl w:val="0"/>
                <w:numId w:val="1"/>
              </w:numPr>
              <w:tabs>
                <w:tab w:val="num" w:pos="1080"/>
              </w:tabs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Γραμμές ΟΤΕ μέσω προεπιλογής: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Ναι</w:t>
            </w:r>
          </w:p>
          <w:p w14:paraId="7AE66EEA" w14:textId="77777777" w:rsidR="00252830" w:rsidRPr="00B75644" w:rsidRDefault="00252830" w:rsidP="00252830">
            <w:pPr>
              <w:numPr>
                <w:ilvl w:val="0"/>
                <w:numId w:val="1"/>
              </w:numPr>
              <w:tabs>
                <w:tab w:val="num" w:pos="1080"/>
              </w:tabs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Κεφαλικός αριθμός: 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Ναι</w:t>
            </w:r>
          </w:p>
          <w:p w14:paraId="753A12D2" w14:textId="77777777" w:rsidR="00252830" w:rsidRPr="00B75644" w:rsidRDefault="00252830" w:rsidP="00252830">
            <w:pPr>
              <w:numPr>
                <w:ilvl w:val="0"/>
                <w:numId w:val="1"/>
              </w:numPr>
              <w:tabs>
                <w:tab w:val="num" w:pos="1080"/>
              </w:tabs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Εμφάνιση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διεπιλογικών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στις εξερχόμενες χρήσεις: 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Ναι</w:t>
            </w:r>
          </w:p>
          <w:p w14:paraId="4FF10065" w14:textId="77777777" w:rsidR="00252830" w:rsidRPr="00B75644" w:rsidRDefault="00252830" w:rsidP="00252830">
            <w:pPr>
              <w:numPr>
                <w:ilvl w:val="0"/>
                <w:numId w:val="1"/>
              </w:numPr>
              <w:tabs>
                <w:tab w:val="num" w:pos="1080"/>
              </w:tabs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Εμφάνιση στους ενοποιημένους τηλεφωνικούς καταλόγους: 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Ναι</w:t>
            </w:r>
          </w:p>
          <w:p w14:paraId="6BA8F124" w14:textId="77777777" w:rsidR="00252830" w:rsidRPr="00B75644" w:rsidRDefault="00252830" w:rsidP="00252830">
            <w:pPr>
              <w:numPr>
                <w:ilvl w:val="0"/>
                <w:numId w:val="1"/>
              </w:numPr>
              <w:tabs>
                <w:tab w:val="num" w:pos="1080"/>
              </w:tabs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Χαρακτηριστικά σύνδεσης PRI: 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CRC4 </w:t>
            </w:r>
            <w:proofErr w:type="spellStart"/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enable</w:t>
            </w:r>
            <w:proofErr w:type="spellEnd"/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διεπαφή</w:t>
            </w:r>
            <w:proofErr w:type="spellEnd"/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ITU-T G.703/G.704, </w:t>
            </w:r>
            <w:proofErr w:type="spellStart"/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EuroISDN</w:t>
            </w:r>
            <w:proofErr w:type="spellEnd"/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PRI</w:t>
            </w:r>
          </w:p>
          <w:p w14:paraId="4B37D2BC" w14:textId="77777777" w:rsidR="00252830" w:rsidRPr="00B75644" w:rsidRDefault="00252830" w:rsidP="00252830">
            <w:pPr>
              <w:numPr>
                <w:ilvl w:val="0"/>
                <w:numId w:val="1"/>
              </w:numPr>
              <w:tabs>
                <w:tab w:val="num" w:pos="1080"/>
              </w:tabs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Τερματικός εξοπλισμός δικτύου, εργασίες εγκατάστασης του δρομολογητή (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router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) στο τοπικό μας δίκτυο (LAN) και τέλη ενεργοποίησης: 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ΧΩΡΙΣ ΧΡΕΩΣΗ</w:t>
            </w:r>
          </w:p>
          <w:p w14:paraId="379C5C6D" w14:textId="77777777" w:rsidR="00252830" w:rsidRPr="00B75644" w:rsidRDefault="00252830" w:rsidP="00252830">
            <w:pPr>
              <w:numPr>
                <w:ilvl w:val="0"/>
                <w:numId w:val="1"/>
              </w:numPr>
              <w:tabs>
                <w:tab w:val="num" w:pos="1080"/>
              </w:tabs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Να προσφέρεται απεριόριστη ενδοεπικοινωνία μεταξύ σταθερών και κινητών της επιχείρησης που θα υλοποιηθούν με την παρούσα διαδικασία προμηθειών.</w:t>
            </w:r>
          </w:p>
          <w:p w14:paraId="04928B2E" w14:textId="064FA943" w:rsidR="00252830" w:rsidRDefault="00252830" w:rsidP="00252830">
            <w:pPr>
              <w:numPr>
                <w:ilvl w:val="0"/>
                <w:numId w:val="1"/>
              </w:numPr>
              <w:tabs>
                <w:tab w:val="num" w:pos="1080"/>
              </w:tabs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Εγγυημένα σταθερός τιμοκατάλογος χρεώσεων κίνησης πέραν του παγίου (αν υπάρχει πάγιο) για όλη τη διάρκεια της σύμβασης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και σε καμία περίπτωση οι τιμές να μην υπερβαίνουν τις τιμές που περιλαμβάνονται στον κάτωθι τιμοκατάλογο που αφορά στην ισχύουσα σύμβαση</w:t>
            </w: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Ναι (να παρέχεται ανάλυση στην προσφορά)</w:t>
            </w:r>
          </w:p>
          <w:p w14:paraId="00AF4B5D" w14:textId="04F2256D" w:rsidR="00252830" w:rsidRPr="00252830" w:rsidRDefault="00252830" w:rsidP="00252830">
            <w:pPr>
              <w:numPr>
                <w:ilvl w:val="0"/>
                <w:numId w:val="1"/>
              </w:numPr>
              <w:tabs>
                <w:tab w:val="num" w:pos="1080"/>
              </w:tabs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830">
              <w:rPr>
                <w:rFonts w:asciiTheme="minorHAnsi" w:hAnsiTheme="minorHAnsi" w:cstheme="minorHAnsi"/>
                <w:sz w:val="20"/>
                <w:szCs w:val="20"/>
              </w:rPr>
              <w:t>Διάρκεια μίσθωσης:</w:t>
            </w:r>
            <w:r w:rsidRPr="002528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22/10/2019 έως 22/10/2020</w:t>
            </w:r>
          </w:p>
        </w:tc>
      </w:tr>
      <w:tr w:rsidR="00252830" w:rsidRPr="00B75644" w14:paraId="0D631838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6337DE" w14:textId="77777777" w:rsidR="00252830" w:rsidRPr="00B75644" w:rsidRDefault="00252830" w:rsidP="007E685B">
            <w:pPr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252830" w:rsidRPr="00A706A0" w14:paraId="250AD0E1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D0D0D"/>
            <w:vAlign w:val="bottom"/>
          </w:tcPr>
          <w:p w14:paraId="2DA4C448" w14:textId="77777777" w:rsidR="00252830" w:rsidRPr="00B75644" w:rsidRDefault="00252830" w:rsidP="007E685B">
            <w:pPr>
              <w:jc w:val="center"/>
              <w:rPr>
                <w:rFonts w:asciiTheme="minorHAnsi" w:eastAsia="Malgun Gothic" w:hAnsiTheme="minorHAnsi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b/>
                <w:bCs/>
                <w:color w:val="FFFFFF"/>
                <w:sz w:val="18"/>
                <w:szCs w:val="18"/>
                <w:lang w:eastAsia="en-GB"/>
              </w:rPr>
              <w:t>ΤΙΜΟΚΑΤΑΛΟΓΟΣ ΧΡΕΩΣΕΩΝ ΥΠΗΡΕΣΙΑΣ ΣΤΑΘΕΡΗΣ ΤΗΛΕΦΩΝΙΑΣ ΓΙΑ ΟΛΗ ΤΗ ΔΙΑΡΚΕΙΑ ΤΗΣ ΣΥΜΒΑΣΗΣ (ΠΕΡΑ ΑΠΌ ΤΑ ΕΝΣΩΜΑΤΩΜΕΝΑ ΣΤΟΝ ΠΡΟΣΦΕΡΟΜΕΝΟ ΠΡΟΓΡΑΜΜΑΤΑ/ΠΑΓΙΟ)</w:t>
            </w:r>
          </w:p>
        </w:tc>
      </w:tr>
      <w:tr w:rsidR="00252830" w:rsidRPr="00A706A0" w14:paraId="49FDE851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C0F99" w14:textId="77777777" w:rsidR="00252830" w:rsidRPr="00B75644" w:rsidRDefault="00252830" w:rsidP="007E685B">
            <w:pPr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Προς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2EF1B7A" w14:textId="77777777" w:rsidR="00252830" w:rsidRPr="00B75644" w:rsidRDefault="00252830" w:rsidP="007E685B">
            <w:pPr>
              <w:jc w:val="center"/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Κόστος (μετά προσφερόμενων εκπτώσεων και χωρίς ΦΠΑ)</w:t>
            </w:r>
          </w:p>
        </w:tc>
      </w:tr>
      <w:tr w:rsidR="00252830" w:rsidRPr="00B75644" w14:paraId="58290179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652D4" w14:textId="77777777" w:rsidR="00252830" w:rsidRPr="00B75644" w:rsidRDefault="00252830" w:rsidP="007E685B">
            <w:pPr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Εθνικά Σταθερά: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645BF7" w14:textId="77777777" w:rsidR="00252830" w:rsidRPr="00B75644" w:rsidRDefault="00252830" w:rsidP="007E685B">
            <w:pPr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0,0081€/λεπτό</w:t>
            </w:r>
          </w:p>
        </w:tc>
      </w:tr>
      <w:tr w:rsidR="00252830" w:rsidRPr="00B75644" w14:paraId="744D5305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A6AA1" w14:textId="77777777" w:rsidR="00252830" w:rsidRPr="00B75644" w:rsidRDefault="00252830" w:rsidP="007E685B">
            <w:pPr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Εθνικά Κινητά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E497D00" w14:textId="77777777" w:rsidR="00252830" w:rsidRPr="00B75644" w:rsidRDefault="00252830" w:rsidP="007E685B">
            <w:pPr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0,0225€/λεπτό</w:t>
            </w:r>
          </w:p>
        </w:tc>
      </w:tr>
      <w:tr w:rsidR="00252830" w:rsidRPr="00B75644" w14:paraId="6B85ED56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6E7D8" w14:textId="77777777" w:rsidR="00252830" w:rsidRPr="00B75644" w:rsidRDefault="00252830" w:rsidP="007E685B">
            <w:pPr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Διεθνή σταθερά χωρών ΕΕ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A91B37" w14:textId="77777777" w:rsidR="00252830" w:rsidRPr="00B75644" w:rsidRDefault="00252830" w:rsidP="007E685B">
            <w:pPr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0,0750€/λεπτό</w:t>
            </w:r>
          </w:p>
        </w:tc>
      </w:tr>
      <w:tr w:rsidR="00252830" w:rsidRPr="00B75644" w14:paraId="4226EF37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EECB7" w14:textId="77777777" w:rsidR="00252830" w:rsidRPr="00B75644" w:rsidRDefault="00252830" w:rsidP="007E685B">
            <w:pPr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Διεθνή κινητά χωρών ΕΕ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7FBCE51" w14:textId="77777777" w:rsidR="00252830" w:rsidRPr="00B75644" w:rsidRDefault="00252830" w:rsidP="007E685B">
            <w:pPr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0,1845€/λεπτό</w:t>
            </w:r>
          </w:p>
        </w:tc>
      </w:tr>
      <w:tr w:rsidR="00252830" w:rsidRPr="00B75644" w14:paraId="15395790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3D922" w14:textId="77777777" w:rsidR="00252830" w:rsidRPr="00B75644" w:rsidRDefault="00252830" w:rsidP="007E685B">
            <w:pPr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Διεθνή σταθερά Ζώνης 1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9DEA7C" w14:textId="77777777" w:rsidR="00252830" w:rsidRPr="00B75644" w:rsidRDefault="00252830" w:rsidP="007E685B">
            <w:pPr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0,0750€/λεπτό</w:t>
            </w:r>
          </w:p>
        </w:tc>
      </w:tr>
      <w:tr w:rsidR="00252830" w:rsidRPr="00B75644" w14:paraId="74D4E37F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0F1D9" w14:textId="77777777" w:rsidR="00252830" w:rsidRPr="00B75644" w:rsidRDefault="00252830" w:rsidP="007E685B">
            <w:pPr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Διεθνή κινητά Ζώνης 1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AAF70F" w14:textId="77777777" w:rsidR="00252830" w:rsidRPr="00B75644" w:rsidRDefault="00252830" w:rsidP="007E685B">
            <w:pPr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0,1845€/λεπτό</w:t>
            </w:r>
          </w:p>
        </w:tc>
      </w:tr>
      <w:tr w:rsidR="00252830" w:rsidRPr="00252830" w14:paraId="7F3222D2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10094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Διεθνή σταθερά Ζώνης 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50FEE33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0,09€/λεπτό</w:t>
            </w:r>
          </w:p>
        </w:tc>
      </w:tr>
      <w:tr w:rsidR="00252830" w:rsidRPr="00252830" w14:paraId="15A5F8EA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EBBB7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Διεθνή κινητά Ζώνης 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02424D6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0,1860€/λεπτό</w:t>
            </w:r>
          </w:p>
        </w:tc>
      </w:tr>
      <w:tr w:rsidR="00252830" w:rsidRPr="00252830" w14:paraId="705EBF76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AF450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8B6998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52830" w:rsidRPr="00252830" w14:paraId="62E9FFDD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40A80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Διεθνή σταθερά Ζώνης 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73BB6D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0,1260€/λεπτό</w:t>
            </w:r>
          </w:p>
        </w:tc>
      </w:tr>
      <w:tr w:rsidR="00252830" w:rsidRPr="00252830" w14:paraId="4137810F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B520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Διεθνή κινητά Ζώνης 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D765F6B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0,2340€/λεπτό</w:t>
            </w:r>
          </w:p>
        </w:tc>
      </w:tr>
      <w:tr w:rsidR="00252830" w:rsidRPr="00252830" w14:paraId="7488C229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EF997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99C0DE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52830" w:rsidRPr="00252830" w14:paraId="6903CF65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DA3F8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Διεθνή σταθερά Ζώνης 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DD82B58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0,3480€/λεπτό</w:t>
            </w:r>
          </w:p>
        </w:tc>
      </w:tr>
      <w:tr w:rsidR="00252830" w:rsidRPr="00252830" w14:paraId="14D06BDA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83C6B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Διεθνή κινητά Ζώνης 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72AFD5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0,3480€/λεπτό</w:t>
            </w:r>
          </w:p>
        </w:tc>
      </w:tr>
      <w:tr w:rsidR="00252830" w:rsidRPr="00252830" w14:paraId="396CC9D2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64C23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4638832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52830" w:rsidRPr="00252830" w14:paraId="682DCE2E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74719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Διεθνή σταθερά Ζώνης 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BF3A55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0,42€/λεπτό</w:t>
            </w:r>
          </w:p>
        </w:tc>
      </w:tr>
      <w:tr w:rsidR="00252830" w:rsidRPr="00252830" w14:paraId="2B95EC94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ABDA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Διεθνή κινητά Ζώνης 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20CAEAD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0,42€/λεπτό</w:t>
            </w:r>
          </w:p>
        </w:tc>
      </w:tr>
      <w:tr w:rsidR="00252830" w:rsidRPr="00252830" w14:paraId="1D7D4F72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B96A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52F492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52830" w:rsidRPr="00252830" w14:paraId="73CA544C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D8A0D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Διεθνή σταθερά Ζώνης 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85F30E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0,5760€/λεπτό</w:t>
            </w:r>
          </w:p>
        </w:tc>
      </w:tr>
      <w:tr w:rsidR="00252830" w:rsidRPr="00252830" w14:paraId="67F0165D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0DD53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Διεθνή κινητά Ζώνης 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6077A6B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0,5760€/λεπτό</w:t>
            </w:r>
          </w:p>
        </w:tc>
      </w:tr>
      <w:tr w:rsidR="00252830" w:rsidRPr="00252830" w14:paraId="49539109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6D02C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BCC80E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52830" w:rsidRPr="00252830" w14:paraId="4F0D1DBF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FE458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Διεθνή σταθερά Ζώνης 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17CC7F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1,2840€/λεπτό</w:t>
            </w:r>
          </w:p>
        </w:tc>
      </w:tr>
      <w:tr w:rsidR="00252830" w:rsidRPr="00252830" w14:paraId="7992C158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AFABC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Διεθνή κινητά Ζώνης 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B1C9AE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1,2840€/λεπτό</w:t>
            </w:r>
          </w:p>
        </w:tc>
      </w:tr>
      <w:tr w:rsidR="00252830" w:rsidRPr="00252830" w14:paraId="20D26C3B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E104276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Ανάλυση των ζωνών διεθνών κλήσεων</w:t>
            </w:r>
          </w:p>
        </w:tc>
      </w:tr>
      <w:tr w:rsidR="00252830" w:rsidRPr="00252830" w14:paraId="4A28344E" w14:textId="77777777" w:rsidTr="009427B2">
        <w:tblPrEx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ED239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lastRenderedPageBreak/>
              <w:t>Ζώνη 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23B6C9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Αυστραλία, Βατικανό, Βέλγιο, Γαλλία, Γερμανία, Δανία, Ελβετία (σταθερά), Η.Π.Α.(περιλαμβάνει Αλάσκα/Χαβάη)*, Ηνωμένο Βασίλειο, Ιρλανδία, Ισλανδία, Ισπανία, Ιταλία, Καναδάς*, Κύπρος, Λουξεμβούργο, Νέα Ζηλανδία, Νορβηγία, Ολλανδία, Πορτογαλία, Σιγκαπούρη, Σουηδία, Χονγκ Κονγκ.</w:t>
            </w: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br/>
            </w:r>
          </w:p>
        </w:tc>
      </w:tr>
      <w:tr w:rsidR="00252830" w:rsidRPr="00252830" w14:paraId="524CAD95" w14:textId="77777777" w:rsidTr="009427B2">
        <w:tblPrEx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B74C6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Ζώνη 2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6B7AA3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Αλβανία, Αμερικανικοί Παρθένοι Νήσοι*, Ανδόρα, Αυστρία, Βουλγαρία (σταθερά), Ιαπωνία, Κίνα, Νότια Κορέα, Πουέρτο Ρίκο*, Ρουμανία, Σαν Μαρίνο, Σερβία, </w:t>
            </w:r>
            <w:proofErr w:type="spellStart"/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Ταϊβάν</w:t>
            </w:r>
            <w:proofErr w:type="spellEnd"/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, Τουρκία, Φινλανδία.</w:t>
            </w:r>
          </w:p>
        </w:tc>
      </w:tr>
      <w:tr w:rsidR="00252830" w:rsidRPr="00252830" w14:paraId="1F77006F" w14:textId="77777777" w:rsidTr="009427B2">
        <w:tblPrEx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1C52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Ζώνη 3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FC764E7" w14:textId="77777777" w:rsidR="00252830" w:rsidRPr="00252830" w:rsidRDefault="00252830" w:rsidP="0025283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252830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Βοσνία-Ερζεγοβίνη, Βουλγαρία (κινητά)**, Γεωργία, Γιβραλτάρ, Ελβετία (κινητά)**, Εσθονία, Ισραήλ, Κροατία, Λετονία, Λιθουανία, Μάλτα, Μαυροβούνιο, Μολδαβία, Μονακό, Ουγγαρία, Ουκρανία, Π.Γ.Δ.Μ., Πολωνία, Ρωσία, Σλοβακία, Σλοβενία, Τσεχία, Φερόε Νήσοι , Φιλιππίνες.</w:t>
            </w:r>
          </w:p>
        </w:tc>
      </w:tr>
      <w:tr w:rsidR="00252830" w:rsidRPr="00A706A0" w14:paraId="72B0AC75" w14:textId="77777777" w:rsidTr="009427B2">
        <w:tblPrEx>
          <w:tblLook w:val="04A0" w:firstRow="1" w:lastRow="0" w:firstColumn="1" w:lastColumn="0" w:noHBand="0" w:noVBand="1"/>
        </w:tblPrEx>
        <w:trPr>
          <w:trHeight w:val="20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CEE37" w14:textId="77777777" w:rsidR="00252830" w:rsidRPr="00B75644" w:rsidRDefault="00252830" w:rsidP="007E685B">
            <w:pPr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bookmarkStart w:id="1" w:name="_Hlk6252641"/>
            <w:bookmarkStart w:id="2" w:name="_Hlk6252658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Ζώνη 4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D3B9ADB" w14:textId="77777777" w:rsidR="00252830" w:rsidRPr="00B75644" w:rsidRDefault="00252830" w:rsidP="007E685B">
            <w:pPr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Αγκόλα, Αίγυπτος, Αϊτή, Αλγερία, Αντίγκουα, Αργεντινή, Αρμενία, Αρούμπα, Βενεζουέλα, Βερμούδα, Βολιβία, Βραζιλία, Βρετανικοί Παρθένοι Νήσοι, Γκάμπια, Γκαμπόν, Γκάνα, Γουατεμάλα, Γρενάδα, </w:t>
            </w:r>
            <w:proofErr w:type="spellStart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Δομίνικα</w:t>
            </w:r>
            <w:proofErr w:type="spellEnd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, Δομινικανή Δημοκρατία, Εκουαδόρ, Ελ Σαλβαδόρ, Ηνωμένα Αραβικά Εμιράτα, Κατάρ, Καϋμάν Νήσοι , Κολομβία, Κόστα Ρίκα, </w:t>
            </w:r>
            <w:proofErr w:type="spellStart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Λεσόθο</w:t>
            </w:r>
            <w:proofErr w:type="spellEnd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, Λευκορωσία, Λίβανος, Λιβύη, Λιχτενστάιν, Μαρόκο, Μαρτινίκα, Μαυριτανία, Μεξικό, Μπαρμπάντος, Μπαχάμες, Μπελίζ, Νικαράγουα, Νότια Αφρική, Ολλανδικές Αντίλλες, Ονδούρα, Ουγκάντα, Ουρουγουάη, Παναμάς, Παραγουάη, Περού, Σαουδική Αραβία, Σενεγάλη, Ταϊλάνδη, Τανζανία, Τζαμάικα, Τυνησία, Χιλή. </w:t>
            </w:r>
          </w:p>
        </w:tc>
      </w:tr>
      <w:bookmarkEnd w:id="1"/>
      <w:tr w:rsidR="00252830" w:rsidRPr="00A706A0" w14:paraId="2897D74C" w14:textId="77777777" w:rsidTr="009427B2">
        <w:tblPrEx>
          <w:tblLook w:val="04A0" w:firstRow="1" w:lastRow="0" w:firstColumn="1" w:lastColumn="0" w:noHBand="0" w:noVBand="1"/>
        </w:tblPrEx>
        <w:trPr>
          <w:trHeight w:val="14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4E9BB" w14:textId="77777777" w:rsidR="00252830" w:rsidRPr="00B75644" w:rsidRDefault="00252830" w:rsidP="007E685B">
            <w:pPr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Ζώνη 5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917940F" w14:textId="77777777" w:rsidR="00252830" w:rsidRPr="00B75644" w:rsidRDefault="00252830" w:rsidP="007E685B">
            <w:pPr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Αζερμπαϊτζάν, Αφγανιστάν, Βιετνάμ, Γαλλική Γουιάνα, Γουιάνα, Ζιμπάμπουε, Ινδία, Ιορδανία, Ιράκ, Ιράν, Καζακστάν, Καμπότζη, Κομόρες Νήσοι , Κουβέιτ, Λάος, Μακάο, Μογγολία, </w:t>
            </w:r>
            <w:proofErr w:type="spellStart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Μοντσεράτ</w:t>
            </w:r>
            <w:proofErr w:type="spellEnd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, Μπαγκλαντές, Μπαχρέιν, Μποτσουάνα, Μπουτάν, Μπρουνέι </w:t>
            </w:r>
            <w:proofErr w:type="spellStart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Νταρουσάλαμ</w:t>
            </w:r>
            <w:proofErr w:type="spellEnd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, Μυανμάρ (Βιρμανία), Ναμίμπια, Νεπάλ, Νιγηρία, Ομάν, Ουζμπεκιστάν, Πακιστάν, Παλαιστίνη, Σουαζιλάνδη, Σουρινάμ, Συρία, Υεμένη.</w:t>
            </w:r>
          </w:p>
        </w:tc>
      </w:tr>
      <w:tr w:rsidR="00252830" w:rsidRPr="00A706A0" w14:paraId="1A2B4DD4" w14:textId="77777777" w:rsidTr="009427B2">
        <w:tblPrEx>
          <w:tblLook w:val="04A0" w:firstRow="1" w:lastRow="0" w:firstColumn="1" w:lastColumn="0" w:noHBand="0" w:noVBand="1"/>
        </w:tblPrEx>
        <w:trPr>
          <w:trHeight w:val="19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B3BE6" w14:textId="77777777" w:rsidR="00252830" w:rsidRPr="00B75644" w:rsidRDefault="00252830" w:rsidP="007E685B">
            <w:pPr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Ζώνη 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A5D6B8" w14:textId="77777777" w:rsidR="00252830" w:rsidRPr="00B75644" w:rsidRDefault="00252830" w:rsidP="007E685B">
            <w:pPr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Αγία Λουκία, Αιθιοπία, Ακτή Ελεφαντοστού, Αμερικανική Σαμόα, Ανγκουίλα, Βόρεια Κορέα, Γουαδελούπη, Γουινέα, Γουινέα-</w:t>
            </w:r>
            <w:proofErr w:type="spellStart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Mπισάου</w:t>
            </w:r>
            <w:proofErr w:type="spellEnd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, Ερυθραία, Ζάμπια, Ινδονησία, Ισημερινή </w:t>
            </w:r>
            <w:proofErr w:type="spellStart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Γουϊνέα</w:t>
            </w:r>
            <w:proofErr w:type="spellEnd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, Καμερούν, Κεντρική Αφρικανική Δημοκρατία, Κένυα, </w:t>
            </w:r>
            <w:proofErr w:type="spellStart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Κιργιστάν</w:t>
            </w:r>
            <w:proofErr w:type="spellEnd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, Κονγκό, Λαϊκή Δημοκρατία του Κονγκό, Λιβερία, </w:t>
            </w:r>
            <w:proofErr w:type="spellStart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Μαγιότε</w:t>
            </w:r>
            <w:proofErr w:type="spellEnd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 Νήσος , Μαδαγασκάρη, Μαλαισία, Μαλάουι, Μαλδίβες Νήσοι, Μάλι, Μαυρίκιος Νήσος , Μοζαμβίκη, </w:t>
            </w:r>
            <w:proofErr w:type="spellStart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Μπένιν</w:t>
            </w:r>
            <w:proofErr w:type="spellEnd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, Μπουρκίνα Φάσο, Μπουρούντι, Νίγηρας, Πράσινο Ακρωτήριο, </w:t>
            </w:r>
            <w:proofErr w:type="spellStart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Ρεούνιον</w:t>
            </w:r>
            <w:proofErr w:type="spellEnd"/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 Νήσος , Ρουάντα, Σεϋχέλλες Νήσοι , Σιέρα Λεόνε, Σομαλία, Σουδάν, Σρι Λάνκα, Τατζικιστάν, Τζιμπουτί, Τόγκο, Τουρκμενιστάν, Τρινιντάντ &amp; Τομπάγκο, Τσαντ, Φίτζι Νήσοι, Φώκλαντ Νήσοι.</w:t>
            </w:r>
          </w:p>
        </w:tc>
      </w:tr>
      <w:tr w:rsidR="00252830" w:rsidRPr="00B75644" w14:paraId="7F69B81D" w14:textId="77777777" w:rsidTr="009427B2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7099" w14:textId="77777777" w:rsidR="00252830" w:rsidRPr="00B75644" w:rsidRDefault="00252830" w:rsidP="007E685B">
            <w:pPr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Ζώνη 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CD4200" w14:textId="77777777" w:rsidR="00252830" w:rsidRPr="00B75644" w:rsidRDefault="00252830" w:rsidP="007E685B">
            <w:pPr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Όλοι οι υπόλοιποι προορισμοί.</w:t>
            </w:r>
          </w:p>
        </w:tc>
      </w:tr>
      <w:tr w:rsidR="00252830" w:rsidRPr="00A706A0" w14:paraId="5FF59023" w14:textId="77777777" w:rsidTr="009427B2">
        <w:tblPrEx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C920A1" w14:textId="77777777" w:rsidR="00252830" w:rsidRPr="00B75644" w:rsidRDefault="00252830" w:rsidP="007E685B">
            <w:pPr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 xml:space="preserve">* Τα κινητά τηλέφωνα των προορισμών Η.Π.Α., Καναδάς, Αμερικανικές Παρθένοι Νήσοι και Πουέρτο Ρίκο χρεώνονται όπως και τα αντίστοιχα σταθερά τηλέφωνα αυτών των προορισμών </w:t>
            </w: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br/>
              <w:t>** Τα κινητά τηλέφωνα των προορισμών Βουλγαρία και Ελβετία ανήκουν στη "Διεθνή Ζώνη 3 - Κινητά".</w:t>
            </w:r>
          </w:p>
        </w:tc>
      </w:tr>
      <w:tr w:rsidR="00252830" w:rsidRPr="00B75644" w14:paraId="33DE7BB3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14:paraId="6AA76BC6" w14:textId="77777777" w:rsidR="00252830" w:rsidRPr="00B75644" w:rsidRDefault="00252830" w:rsidP="007E685B">
            <w:pPr>
              <w:jc w:val="center"/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ΆΛΛΕΣ ΕΚΠΤΩΣΕΙΣ ΠΡΟΣΦΟΡΕΣ</w:t>
            </w:r>
          </w:p>
        </w:tc>
      </w:tr>
      <w:tr w:rsidR="00252830" w:rsidRPr="00B75644" w14:paraId="53D5F992" w14:textId="77777777" w:rsidTr="009427B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43A9" w14:textId="77777777" w:rsidR="00252830" w:rsidRPr="00B75644" w:rsidRDefault="00252830" w:rsidP="007E685B">
            <w:pPr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 xml:space="preserve">Περιγραφή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7FCAF18" w14:textId="77777777" w:rsidR="00252830" w:rsidRPr="00B75644" w:rsidRDefault="00252830" w:rsidP="007E685B">
            <w:pPr>
              <w:jc w:val="center"/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Προσφορά</w:t>
            </w:r>
          </w:p>
        </w:tc>
      </w:tr>
      <w:tr w:rsidR="00252830" w:rsidRPr="00B75644" w14:paraId="66DDEEF3" w14:textId="77777777" w:rsidTr="009427B2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42550" w14:textId="77777777" w:rsidR="00252830" w:rsidRPr="00B75644" w:rsidRDefault="00252830" w:rsidP="007E685B">
            <w:pPr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Η τιμολόγηση να είναι ανά δευτερόλεπτο για όλες τις κλήσεις.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FA84EA5" w14:textId="77777777" w:rsidR="00252830" w:rsidRPr="00B75644" w:rsidRDefault="00252830" w:rsidP="007E685B">
            <w:pPr>
              <w:jc w:val="center"/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B75644">
              <w:rPr>
                <w:rFonts w:asciiTheme="minorHAnsi" w:eastAsia="Malgun Gothic" w:hAnsiTheme="minorHAnsi" w:cstheme="minorHAnsi"/>
                <w:color w:val="000000"/>
                <w:sz w:val="18"/>
                <w:szCs w:val="18"/>
                <w:lang w:eastAsia="en-GB"/>
              </w:rPr>
              <w:t>ΝΑΙ</w:t>
            </w:r>
          </w:p>
        </w:tc>
      </w:tr>
      <w:tr w:rsidR="00252830" w:rsidRPr="00C509DC" w14:paraId="38BFEE55" w14:textId="77777777" w:rsidTr="009427B2">
        <w:trPr>
          <w:trHeight w:val="25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3F3E" w14:textId="1A1A3715" w:rsidR="00252830" w:rsidRDefault="00252830" w:rsidP="007E685B">
            <w:pPr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bookmarkStart w:id="3" w:name="_Hlk6252709"/>
            <w:bookmarkEnd w:id="2"/>
            <w:r w:rsidRPr="00B7564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Β) Διαδίκτυο</w:t>
            </w:r>
          </w:p>
          <w:p w14:paraId="3029D417" w14:textId="77777777" w:rsidR="009427B2" w:rsidRPr="00B75644" w:rsidRDefault="009427B2" w:rsidP="009427B2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Γραμμή πρόσβασης με την κατάλληλη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διεπαφή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για την σύνδεση με τον δρομολογητή του τοπικού δικτύου της Επιχείρησης.</w:t>
            </w:r>
          </w:p>
          <w:p w14:paraId="4FBA34C5" w14:textId="77777777" w:rsidR="009427B2" w:rsidRPr="00B75644" w:rsidRDefault="009427B2" w:rsidP="009427B2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Διεύθυνση IP (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Static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Internet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) για την σύνδεση του δρομολογητή του τοπικού δικτύου με τη γραμμή πρόσβασης και το δρομολογητή δικτύου του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παρόχου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5874F2C" w14:textId="77777777" w:rsidR="009427B2" w:rsidRPr="00B75644" w:rsidRDefault="009427B2" w:rsidP="009427B2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Διευθύνσεις IP Δέκα έξι (16) Internet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addresses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) για την σύνδεση υπολογιστών,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server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, συσκευών στο Internet με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public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internet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και οι οποίοι είναι συνδεμένοι στην πόρτα LAN του δρομολογητή του τοπικού δικτύου.</w:t>
            </w:r>
          </w:p>
          <w:p w14:paraId="22F50A27" w14:textId="77777777" w:rsidR="009427B2" w:rsidRPr="00B75644" w:rsidRDefault="009427B2" w:rsidP="009427B2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Υπηρεσία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Primary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DNS για τα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domain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names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της Επιχείρησης.</w:t>
            </w:r>
          </w:p>
          <w:p w14:paraId="2D93325E" w14:textId="77777777" w:rsidR="009427B2" w:rsidRPr="00B75644" w:rsidRDefault="009427B2" w:rsidP="009427B2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Συμμετρικό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bandwidth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σε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upload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και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download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2FFFC78" w14:textId="77777777" w:rsidR="009427B2" w:rsidRPr="00B75644" w:rsidRDefault="009427B2" w:rsidP="009427B2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Εγγυημένη ταχύτητα πρόσβασης με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ratio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1:1.</w:t>
            </w:r>
          </w:p>
          <w:p w14:paraId="3185438A" w14:textId="77777777" w:rsidR="009427B2" w:rsidRPr="00B75644" w:rsidRDefault="009427B2" w:rsidP="009427B2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Εξοπλισμός και εργασίες εγκατάστασης του δρομολογητή (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router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) στο τοπικό μας δίκτυο (LAN).</w:t>
            </w:r>
          </w:p>
          <w:p w14:paraId="5F9BABC1" w14:textId="77777777" w:rsidR="00252830" w:rsidRPr="00B75644" w:rsidRDefault="00252830" w:rsidP="00252830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Χωρητικότητα: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150 </w:t>
            </w:r>
            <w:proofErr w:type="spellStart"/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Mbps</w:t>
            </w:r>
            <w:proofErr w:type="spellEnd"/>
          </w:p>
          <w:p w14:paraId="7218E45A" w14:textId="77777777" w:rsidR="00252830" w:rsidRPr="00B75644" w:rsidRDefault="00252830" w:rsidP="00252830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Κύκλωμα: 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Οπτική ίνα DA-DH</w:t>
            </w:r>
          </w:p>
          <w:p w14:paraId="3FFD3759" w14:textId="77777777" w:rsidR="00252830" w:rsidRPr="00B75644" w:rsidRDefault="00252830" w:rsidP="00252830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Τύπος Σύνδεσης: 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METRO ETHERNET</w:t>
            </w:r>
          </w:p>
          <w:p w14:paraId="70412579" w14:textId="77777777" w:rsidR="00252830" w:rsidRPr="00B75644" w:rsidRDefault="00252830" w:rsidP="00252830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Τύπος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Διεπαφής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ΕΤΗ</w:t>
            </w:r>
          </w:p>
          <w:p w14:paraId="0E47927D" w14:textId="77777777" w:rsidR="00252830" w:rsidRPr="00B75644" w:rsidRDefault="00252830" w:rsidP="00252830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Είδος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Διεπαφής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RJ45</w:t>
            </w:r>
          </w:p>
          <w:p w14:paraId="6ACB7EE1" w14:textId="77777777" w:rsidR="00252830" w:rsidRPr="00B75644" w:rsidRDefault="00252830" w:rsidP="00252830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Συμμετρικό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bandwidth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σε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upload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και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download</w:t>
            </w:r>
            <w:proofErr w:type="spellEnd"/>
          </w:p>
          <w:p w14:paraId="1BCF63CB" w14:textId="77777777" w:rsidR="00252830" w:rsidRPr="00B75644" w:rsidRDefault="00252830" w:rsidP="00252830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Εγγυημένη ταχύτητα πρόσβασης με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ratio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1:1</w:t>
            </w:r>
          </w:p>
          <w:p w14:paraId="7E342581" w14:textId="77777777" w:rsidR="00252830" w:rsidRPr="00B75644" w:rsidRDefault="00252830" w:rsidP="00252830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F108594">
              <w:rPr>
                <w:rFonts w:asciiTheme="minorHAnsi" w:hAnsiTheme="minorHAnsi" w:cstheme="minorBidi"/>
                <w:sz w:val="20"/>
                <w:szCs w:val="20"/>
              </w:rPr>
              <w:t>Τερματικός εξοπλισμός δικτύου, εργασίες εγκατάστασης του δρομολογητή (</w:t>
            </w:r>
            <w:proofErr w:type="spellStart"/>
            <w:r w:rsidRPr="0F108594">
              <w:rPr>
                <w:rFonts w:asciiTheme="minorHAnsi" w:hAnsiTheme="minorHAnsi" w:cstheme="minorBidi"/>
                <w:sz w:val="20"/>
                <w:szCs w:val="20"/>
              </w:rPr>
              <w:t>router</w:t>
            </w:r>
            <w:proofErr w:type="spellEnd"/>
            <w:r w:rsidRPr="0F108594">
              <w:rPr>
                <w:rFonts w:asciiTheme="minorHAnsi" w:hAnsiTheme="minorHAnsi" w:cstheme="minorBidi"/>
                <w:sz w:val="20"/>
                <w:szCs w:val="20"/>
              </w:rPr>
              <w:t xml:space="preserve">) στο τοπικό μας δίκτυο (LAN) και τέλη ενεργοποίησης: </w:t>
            </w:r>
            <w:r w:rsidRPr="0F108594">
              <w:rPr>
                <w:rFonts w:asciiTheme="minorHAnsi" w:hAnsiTheme="minorHAnsi" w:cstheme="minorBidi"/>
                <w:b/>
                <w:sz w:val="20"/>
                <w:szCs w:val="20"/>
              </w:rPr>
              <w:t>ΧΩΡΙΣ ΧΡΕΩΣΗ</w:t>
            </w:r>
          </w:p>
          <w:p w14:paraId="318FBFFF" w14:textId="77777777" w:rsidR="00252830" w:rsidRPr="00B75644" w:rsidRDefault="00252830" w:rsidP="00252830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F108594">
              <w:rPr>
                <w:rFonts w:asciiTheme="minorHAnsi" w:hAnsiTheme="minorHAnsi" w:cstheme="minorBidi"/>
                <w:sz w:val="20"/>
                <w:szCs w:val="20"/>
              </w:rPr>
              <w:t xml:space="preserve">Διευθύνσεις IP </w:t>
            </w:r>
            <w:r w:rsidRPr="0F108594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Δέκα έξι (16) στατικές Internet </w:t>
            </w:r>
            <w:proofErr w:type="spellStart"/>
            <w:r w:rsidRPr="0F108594">
              <w:rPr>
                <w:rFonts w:asciiTheme="minorHAnsi" w:hAnsiTheme="minorHAnsi" w:cstheme="minorBidi"/>
                <w:b/>
                <w:sz w:val="20"/>
                <w:szCs w:val="20"/>
              </w:rPr>
              <w:t>addresses</w:t>
            </w:r>
            <w:proofErr w:type="spellEnd"/>
          </w:p>
          <w:p w14:paraId="21A7729A" w14:textId="557E21DC" w:rsidR="0F108594" w:rsidRDefault="0F108594" w:rsidP="0F108594">
            <w:p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F10859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           </w:t>
            </w:r>
            <w:r w:rsidRPr="0F108594">
              <w:rPr>
                <w:rFonts w:asciiTheme="minorHAnsi" w:hAnsiTheme="minorHAnsi" w:cstheme="minorBidi"/>
                <w:sz w:val="20"/>
                <w:szCs w:val="20"/>
              </w:rPr>
              <w:t>10. Κατασκευή κυκλώματος (</w:t>
            </w:r>
            <w:proofErr w:type="spellStart"/>
            <w:r w:rsidRPr="0F108594">
              <w:rPr>
                <w:rFonts w:asciiTheme="minorHAnsi" w:hAnsiTheme="minorHAnsi" w:cstheme="minorBidi"/>
                <w:sz w:val="20"/>
                <w:szCs w:val="20"/>
              </w:rPr>
              <w:t>Local</w:t>
            </w:r>
            <w:proofErr w:type="spellEnd"/>
            <w:r w:rsidRPr="0F108594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F108594">
              <w:rPr>
                <w:rFonts w:asciiTheme="minorHAnsi" w:hAnsiTheme="minorHAnsi" w:cstheme="minorBidi"/>
                <w:sz w:val="20"/>
                <w:szCs w:val="20"/>
              </w:rPr>
              <w:t>loop</w:t>
            </w:r>
            <w:proofErr w:type="spellEnd"/>
            <w:r w:rsidRPr="0F108594">
              <w:rPr>
                <w:rFonts w:asciiTheme="minorHAnsi" w:hAnsiTheme="minorHAnsi" w:cstheme="minorBidi"/>
                <w:sz w:val="20"/>
                <w:szCs w:val="20"/>
              </w:rPr>
              <w:t>), Δρομολόγηση οπτικής ίνας στις εγκαταστάσεις της ΔΕΡΑ:</w:t>
            </w:r>
            <w:r w:rsidRPr="0F10859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ΧΩΡΙΣ ΧΡΕΩΣΗ</w:t>
            </w:r>
          </w:p>
          <w:p w14:paraId="72C57678" w14:textId="77777777" w:rsidR="00252830" w:rsidRPr="00B75644" w:rsidRDefault="00252830" w:rsidP="007E685B">
            <w:pPr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F108594">
              <w:rPr>
                <w:rFonts w:asciiTheme="minorHAnsi" w:hAnsiTheme="minorHAnsi" w:cstheme="minorBidi"/>
                <w:sz w:val="20"/>
                <w:szCs w:val="20"/>
              </w:rPr>
              <w:t>Διάρκεια μίσθωσης:</w:t>
            </w:r>
            <w:r w:rsidRPr="0F108594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 22/10/2019 έως 22/10/2020</w:t>
            </w:r>
          </w:p>
          <w:p w14:paraId="4DEB1883" w14:textId="06202393" w:rsidR="0F108594" w:rsidRDefault="0F108594" w:rsidP="0F108594">
            <w:pPr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2EF89359" w14:textId="794FC4D9" w:rsidR="009427B2" w:rsidRPr="00B75644" w:rsidRDefault="00252830" w:rsidP="009427B2">
            <w:pPr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7564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Γ) Κινητή τηλεφωνία</w:t>
            </w:r>
          </w:p>
          <w:p w14:paraId="113984E4" w14:textId="40191D52" w:rsidR="009427B2" w:rsidRDefault="009427B2" w:rsidP="009427B2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53CF">
              <w:rPr>
                <w:rFonts w:asciiTheme="minorHAnsi" w:hAnsiTheme="minorHAnsi" w:cstheme="minorHAnsi"/>
                <w:sz w:val="20"/>
                <w:szCs w:val="20"/>
              </w:rPr>
              <w:t>20 συνδέσεις κινητής τηλεφωνίας σε προγράμματα.</w:t>
            </w:r>
          </w:p>
          <w:p w14:paraId="30BBC119" w14:textId="77777777" w:rsidR="009427B2" w:rsidRDefault="009427B2" w:rsidP="009427B2">
            <w:pPr>
              <w:snapToGri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</w:rPr>
              <w:t>13 συνδέσεις (</w:t>
            </w:r>
            <w:r w:rsidRPr="00651B53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500΄ προς Εθνικά κινητά, 1500΄ προς Εθνικά σταθερά, Απεριόριστος </w:t>
            </w:r>
            <w:proofErr w:type="spellStart"/>
            <w:r w:rsidRPr="00651B53">
              <w:rPr>
                <w:rFonts w:cs="Calibri"/>
                <w:color w:val="000000"/>
                <w:sz w:val="20"/>
                <w:szCs w:val="20"/>
                <w:lang w:eastAsia="en-GB"/>
              </w:rPr>
              <w:t>ενδοεταιρικός</w:t>
            </w:r>
            <w:proofErr w:type="spellEnd"/>
            <w:r w:rsidRPr="00651B53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χρόνος προς σταθερά και κινητά, </w:t>
            </w: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4 G</w:t>
            </w:r>
            <w:r w:rsidRPr="00651B53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B, 150 </w:t>
            </w:r>
            <w:proofErr w:type="spellStart"/>
            <w:r w:rsidRPr="00651B53">
              <w:rPr>
                <w:rFonts w:cs="Calibri"/>
                <w:color w:val="000000"/>
                <w:sz w:val="20"/>
                <w:szCs w:val="20"/>
                <w:lang w:eastAsia="en-GB"/>
              </w:rPr>
              <w:t>sms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)</w:t>
            </w:r>
          </w:p>
          <w:p w14:paraId="2DEBBB3E" w14:textId="77777777" w:rsidR="009427B2" w:rsidRDefault="009427B2" w:rsidP="009427B2">
            <w:pPr>
              <w:snapToGri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4 συνδέσεις (</w:t>
            </w:r>
            <w:r w:rsidRPr="00651B53">
              <w:rPr>
                <w:rFonts w:cs="Calibri"/>
                <w:color w:val="000000"/>
                <w:sz w:val="20"/>
                <w:szCs w:val="20"/>
                <w:lang w:eastAsia="en-GB"/>
              </w:rPr>
              <w:t>1500΄ προς Εθνικά κινητά, 1500΄ προς Εθνικά σταθερά,</w:t>
            </w: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100’ προς διεθνή σταθερά, 30’ προς διεθνή κινητά,</w:t>
            </w:r>
            <w:r w:rsidRPr="00651B53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Απεριόριστος </w:t>
            </w:r>
            <w:proofErr w:type="spellStart"/>
            <w:r w:rsidRPr="00651B53">
              <w:rPr>
                <w:rFonts w:cs="Calibri"/>
                <w:color w:val="000000"/>
                <w:sz w:val="20"/>
                <w:szCs w:val="20"/>
                <w:lang w:eastAsia="en-GB"/>
              </w:rPr>
              <w:t>ενδοεταιρικός</w:t>
            </w:r>
            <w:proofErr w:type="spellEnd"/>
            <w:r w:rsidRPr="00651B53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χρόνος προς σταθερά και κινητά, 2</w:t>
            </w: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51B53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GB, 1500 </w:t>
            </w:r>
            <w:proofErr w:type="spellStart"/>
            <w:r w:rsidRPr="00651B53">
              <w:rPr>
                <w:rFonts w:cs="Calibri"/>
                <w:color w:val="000000"/>
                <w:sz w:val="20"/>
                <w:szCs w:val="20"/>
                <w:lang w:eastAsia="en-GB"/>
              </w:rPr>
              <w:t>sms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)</w:t>
            </w:r>
          </w:p>
          <w:p w14:paraId="477B0739" w14:textId="77777777" w:rsidR="009427B2" w:rsidRPr="00B00AF9" w:rsidRDefault="009427B2" w:rsidP="009427B2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3 συνδέσεις (</w:t>
            </w:r>
            <w:r w:rsidRPr="00651B53">
              <w:rPr>
                <w:rFonts w:cs="Calibri"/>
                <w:color w:val="000000"/>
                <w:sz w:val="20"/>
                <w:szCs w:val="20"/>
                <w:lang w:eastAsia="en-GB"/>
              </w:rPr>
              <w:t>100΄ προς Εθνικά κινητά και</w:t>
            </w: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100’ προς</w:t>
            </w:r>
            <w:r w:rsidRPr="00651B53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Εθνικά σταθερά, Απεριόριστος </w:t>
            </w:r>
            <w:proofErr w:type="spellStart"/>
            <w:r w:rsidRPr="00651B53">
              <w:rPr>
                <w:rFonts w:cs="Calibri"/>
                <w:color w:val="000000"/>
                <w:sz w:val="20"/>
                <w:szCs w:val="20"/>
                <w:lang w:eastAsia="en-GB"/>
              </w:rPr>
              <w:t>ενδοεταιρικός</w:t>
            </w:r>
            <w:proofErr w:type="spellEnd"/>
            <w:r w:rsidRPr="00651B53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χρόνος</w:t>
            </w: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, 2000 MB,</w:t>
            </w:r>
            <w:r w:rsidRPr="00651B53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70 </w:t>
            </w:r>
            <w:proofErr w:type="spellStart"/>
            <w:r w:rsidRPr="00651B53">
              <w:rPr>
                <w:rFonts w:cs="Calibri"/>
                <w:color w:val="000000"/>
                <w:sz w:val="20"/>
                <w:szCs w:val="20"/>
                <w:lang w:eastAsia="en-GB"/>
              </w:rPr>
              <w:t>sms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)</w:t>
            </w:r>
          </w:p>
          <w:p w14:paraId="46EC25FE" w14:textId="77777777" w:rsidR="00252830" w:rsidRPr="00B75644" w:rsidRDefault="00252830" w:rsidP="00252830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Σύνολο συνδέσεων: 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20 </w:t>
            </w:r>
          </w:p>
          <w:p w14:paraId="6C7A495A" w14:textId="77777777" w:rsidR="00252830" w:rsidRPr="00B75644" w:rsidRDefault="00252830" w:rsidP="00252830">
            <w:pPr>
              <w:numPr>
                <w:ilvl w:val="1"/>
                <w:numId w:val="2"/>
              </w:num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Να προσφέρεται απεριόριστη ενδοεπικοινωνία μεταξύ σταθερών και κινητών της επιχείρησης που περιλαμβάνονται στην παρούσα διαδικασία</w:t>
            </w:r>
          </w:p>
          <w:p w14:paraId="2A5CF7DC" w14:textId="77777777" w:rsidR="00252830" w:rsidRPr="00B75644" w:rsidRDefault="00252830" w:rsidP="00252830">
            <w:pPr>
              <w:numPr>
                <w:ilvl w:val="1"/>
                <w:numId w:val="2"/>
              </w:num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Το προσφερόμενα προγράμματα να ενσωματώνουν όσο το δυνατόν περισσότερο χρόνο ομιλίας προς εθνικά σταθερά και κινητά καθώς και δεδομένα διαδικτύου </w:t>
            </w:r>
          </w:p>
          <w:p w14:paraId="4B9D77A1" w14:textId="77777777" w:rsidR="00252830" w:rsidRPr="00B75644" w:rsidRDefault="00252830" w:rsidP="00252830">
            <w:pPr>
              <w:numPr>
                <w:ilvl w:val="1"/>
                <w:numId w:val="2"/>
              </w:num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Τα προσφερόμενα προγράμματα να καλύπτουν κατ’ ελάχιστον ανάγκες των χρηστών της επιχείρησης για το έτος  </w:t>
            </w:r>
          </w:p>
          <w:p w14:paraId="73034AFB" w14:textId="77777777" w:rsidR="00252830" w:rsidRPr="00B75644" w:rsidRDefault="00252830" w:rsidP="00252830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Φορητότητα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από άλλο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πάροχο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ΧΩΡΙΣ ΧΡΕΩΣΗ</w:t>
            </w:r>
          </w:p>
          <w:p w14:paraId="606063D0" w14:textId="77777777" w:rsidR="00252830" w:rsidRPr="00B75644" w:rsidRDefault="00252830" w:rsidP="00252830">
            <w:pPr>
              <w:numPr>
                <w:ilvl w:val="0"/>
                <w:numId w:val="2"/>
              </w:numPr>
              <w:tabs>
                <w:tab w:val="clear" w:pos="720"/>
                <w:tab w:val="num" w:pos="1080"/>
              </w:tabs>
              <w:snapToGrid w:val="0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Εγγυημένα σταθερός τιμοκατάλογος χρεώσεων κίνησης πέραν του παγίου (αν υπάρχει πάγιο) για όλη τη διάρκεια της σύμβασης: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Ναι (να παρέχεται ανάλυση στην προσφορά)</w:t>
            </w:r>
          </w:p>
          <w:p w14:paraId="6CE1FA4D" w14:textId="77777777" w:rsidR="00252830" w:rsidRPr="00B75644" w:rsidRDefault="00252830" w:rsidP="007E685B">
            <w:pPr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Hlk5979343"/>
            <w:r w:rsidRPr="0F108594">
              <w:rPr>
                <w:rFonts w:asciiTheme="minorHAnsi" w:hAnsiTheme="minorHAnsi" w:cstheme="minorBidi"/>
                <w:sz w:val="20"/>
                <w:szCs w:val="20"/>
              </w:rPr>
              <w:t>Διάρκεια μίσθωσης:</w:t>
            </w:r>
            <w:r w:rsidRPr="0F108594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 22/10/2019 έως 22/10/2020</w:t>
            </w:r>
          </w:p>
          <w:bookmarkEnd w:id="4"/>
          <w:p w14:paraId="5099E5FB" w14:textId="50BCBCE3" w:rsidR="0F108594" w:rsidRDefault="0F108594" w:rsidP="0F108594">
            <w:pPr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25143A17" w14:textId="77777777" w:rsidR="009427B2" w:rsidRPr="00B75644" w:rsidRDefault="009427B2" w:rsidP="009427B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ΟΡΙΖΟΝΤΙΕΣ ΥΠΗΡΕΣΙΕΣ [Για τις υπηρεσίες (Α), (Β) και (Γ)]</w:t>
            </w:r>
          </w:p>
          <w:p w14:paraId="1405386F" w14:textId="77777777" w:rsidR="009427B2" w:rsidRPr="00D00294" w:rsidRDefault="009427B2" w:rsidP="009427B2">
            <w:pPr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1) </w:t>
            </w:r>
            <w:r w:rsidRPr="00D0029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ΕΝΔΟΕΤΑΙΡΙΚΗ ΕΠΙΚΟΙΝΩΝΙΑ μεταξύ ΟΛΩΝ των σταθερών &amp; κινητών (ΧΩΡΙΣ ΧΡΕΩΣΗ)  </w:t>
            </w:r>
          </w:p>
          <w:p w14:paraId="2752B705" w14:textId="77777777" w:rsidR="009427B2" w:rsidRPr="00B75644" w:rsidRDefault="009427B2" w:rsidP="009427B2">
            <w:pPr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Απεριόριστες κλήσεις από όλα τα σταθερά προς όλα τα κινητά.</w:t>
            </w:r>
          </w:p>
          <w:p w14:paraId="2B43F33D" w14:textId="77777777" w:rsidR="009427B2" w:rsidRPr="00B75644" w:rsidRDefault="009427B2" w:rsidP="009427B2">
            <w:pPr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Απεριόριστες κλήσεις από όλα τα κινητά προς όλα τα σταθερά.</w:t>
            </w:r>
          </w:p>
          <w:p w14:paraId="68D73C61" w14:textId="77777777" w:rsidR="009427B2" w:rsidRPr="00B75644" w:rsidRDefault="009427B2" w:rsidP="009427B2">
            <w:pPr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Απεριόριστες κλήσεις μεταξύ όλων των σταθερών.</w:t>
            </w:r>
          </w:p>
          <w:p w14:paraId="2434518C" w14:textId="77777777" w:rsidR="009427B2" w:rsidRPr="00B75644" w:rsidRDefault="009427B2" w:rsidP="009427B2">
            <w:pPr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Απεριόριστες κλήσεις μεταξύ όλων των κινητών.</w:t>
            </w:r>
          </w:p>
          <w:p w14:paraId="06292874" w14:textId="77777777" w:rsidR="009427B2" w:rsidRPr="00B75644" w:rsidRDefault="009427B2" w:rsidP="009427B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2) ΑΣΦΑΛΕΙΑ ΚΑΙ ΠΡΟΣΤΑΣΙΑ ΔΕΔΟΜΕΝΩΝ</w:t>
            </w:r>
          </w:p>
          <w:p w14:paraId="74018D47" w14:textId="77777777" w:rsidR="009427B2" w:rsidRPr="00B75644" w:rsidRDefault="009427B2" w:rsidP="009427B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Ο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πάροχος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διασφαλίζει και εγγυάται το απόρρητο των συνδιαλέξεων των στοιχείων των τηλεφωνικών κλήσεων και των στοιχείων της επιχείρησης όσο και το απόρρητο όλων των προσωπικών στοιχείων.</w:t>
            </w:r>
          </w:p>
          <w:p w14:paraId="7A95E443" w14:textId="77777777" w:rsidR="009427B2" w:rsidRPr="00B75644" w:rsidRDefault="009427B2" w:rsidP="009427B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  <w:u w:val="single"/>
              </w:rPr>
              <w:lastRenderedPageBreak/>
              <w:t>3) ΤΕΧΝΙΚΗ ΥΠΟΣΤΗΡΙΞΗ</w:t>
            </w:r>
          </w:p>
          <w:p w14:paraId="6362C7C3" w14:textId="77777777" w:rsidR="009427B2" w:rsidRPr="00B75644" w:rsidRDefault="009427B2" w:rsidP="009427B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Ο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πάροχος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να εγγυάται ότι παρέχει:</w:t>
            </w:r>
          </w:p>
          <w:p w14:paraId="5F96738E" w14:textId="77777777" w:rsidR="009427B2" w:rsidRPr="00B75644" w:rsidRDefault="009427B2" w:rsidP="009427B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- Εργαλεία παρακολούθησης κυκλωμάτων.</w:t>
            </w:r>
          </w:p>
          <w:p w14:paraId="29DC081F" w14:textId="77777777" w:rsidR="009427B2" w:rsidRPr="00B75644" w:rsidRDefault="009427B2" w:rsidP="009427B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- Μηχανισμούς εντοπισμού &amp; ταχείας επίλυσης προβλημάτων.</w:t>
            </w:r>
          </w:p>
          <w:p w14:paraId="79305890" w14:textId="77777777" w:rsidR="009427B2" w:rsidRPr="00B75644" w:rsidRDefault="009427B2" w:rsidP="009427B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- Δίκτυο σχεδιασμένο με εναλλακτικές οδεύσεις.</w:t>
            </w:r>
          </w:p>
          <w:p w14:paraId="4EC27B35" w14:textId="77777777" w:rsidR="009427B2" w:rsidRPr="00B75644" w:rsidRDefault="009427B2" w:rsidP="009427B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- 24ωρη επίβλεψη &amp; διαχείριση δικτύου , 365 ημέρες τον χρόνο.</w:t>
            </w:r>
          </w:p>
          <w:p w14:paraId="15FD7381" w14:textId="77777777" w:rsidR="009427B2" w:rsidRPr="00B75644" w:rsidRDefault="009427B2" w:rsidP="009427B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- Πλήρως επανδρωμένο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Network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Operation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Center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και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Βλαβοληπτικό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Κέντρο.</w:t>
            </w:r>
          </w:p>
          <w:p w14:paraId="3744C7C6" w14:textId="77777777" w:rsidR="009427B2" w:rsidRPr="00B75644" w:rsidRDefault="009427B2" w:rsidP="009427B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- Παρουσία τεχνικού του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παρόχου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στην επιχείρηση, εφόσον απαιτείται, για την αποκατάσταση της  βλάβης.</w:t>
            </w:r>
          </w:p>
          <w:p w14:paraId="344C50B6" w14:textId="1F2E1F84" w:rsidR="00252830" w:rsidRDefault="009427B2" w:rsidP="009427B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- Αποκατάσταση της λειτουργίας των υπηρεσιών μέχρι τις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διεπαφές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προσαρμογής των υπηρεσιών του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παρόχου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στο  εσωτερικό δίκτυο της Επιχείρησης (τηλεφωνικό κέντρο για την υπηρεσία Σταθερής τηλεφωνίας,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router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για την υπηρεσία Διαδικτύου.</w:t>
            </w:r>
          </w:p>
          <w:p w14:paraId="717ED10B" w14:textId="77777777" w:rsidR="009427B2" w:rsidRPr="00B75644" w:rsidRDefault="009427B2" w:rsidP="009427B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Service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επισκευών κινητής (ΔΩΡΕΑΝ εκτός του κόστους αποστολής της αποστολής της συσκευής προς το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service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σε εντός εγγύησης συσκευές).</w:t>
            </w:r>
          </w:p>
          <w:p w14:paraId="29268D0E" w14:textId="77777777" w:rsidR="009427B2" w:rsidRPr="00B75644" w:rsidRDefault="009427B2" w:rsidP="009427B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4) ΜΗΧΑΝΙΣΜΟΣ ΕΝΗΜΕΡΩΣΗΣ - ΕΠΙΚΟΙΝΩΝΙΑΣ ΜΕ ΤΟΝ ΤΕΧΝΙΚΟ ΥΠΕΥΘΥΝΟ ΤΗΣ ΕΠΙΧΕΙΡΗΣΗΣ</w:t>
            </w:r>
          </w:p>
          <w:p w14:paraId="46FE27E1" w14:textId="77777777" w:rsidR="009427B2" w:rsidRPr="00B75644" w:rsidRDefault="009427B2" w:rsidP="009427B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- Τηλεφωνική υποστήριξη για κάθε θέμα που αφορά ή σχετίζεται με την υπηρεσία 24 ώρες και 365 ημέρες το χρόνο.</w:t>
            </w:r>
          </w:p>
          <w:p w14:paraId="1F4CBBC1" w14:textId="77777777" w:rsidR="009427B2" w:rsidRPr="00B75644" w:rsidRDefault="009427B2" w:rsidP="009427B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- Καταγραφή των ως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άνωθι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δηλωμένων περιστατικών στη καρτέλα της Επιχείρησης που τηρεί ο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πάροχος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EC12FF4" w14:textId="77777777" w:rsidR="00252830" w:rsidRPr="00B75644" w:rsidRDefault="00252830" w:rsidP="007E685B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599BAE" w14:textId="44F7709C" w:rsidR="00252830" w:rsidRPr="00B75644" w:rsidRDefault="00C509DC" w:rsidP="007E685B">
            <w:pPr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252830"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Προμήθεια αδειών χρήσης Microsoft Office 365 και υπηρεσιών φιλοξενίας &amp; υποστήριξης του </w:t>
            </w:r>
            <w:proofErr w:type="spellStart"/>
            <w:r w:rsidR="00252830"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ιστότοπου</w:t>
            </w:r>
            <w:proofErr w:type="spellEnd"/>
            <w:r w:rsidR="00252830"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www.athina984.gr, </w:t>
            </w:r>
            <w:hyperlink r:id="rId10" w:history="1">
              <w:r w:rsidR="00252830" w:rsidRPr="00B75644">
                <w:rPr>
                  <w:rStyle w:val="-"/>
                  <w:rFonts w:asciiTheme="minorHAnsi" w:hAnsiTheme="minorHAnsi" w:cstheme="minorHAnsi"/>
                  <w:b/>
                  <w:sz w:val="20"/>
                  <w:szCs w:val="20"/>
                </w:rPr>
                <w:t>mail@athina984.gr</w:t>
              </w:r>
            </w:hyperlink>
          </w:p>
          <w:p w14:paraId="705F5320" w14:textId="446DEA81" w:rsidR="00252830" w:rsidRPr="00252830" w:rsidRDefault="00252830" w:rsidP="007E685B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B75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509DC" w:rsidRPr="00081F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25283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.1.</w:t>
            </w:r>
            <w:r w:rsidR="00C509DC" w:rsidRPr="00081F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75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Υπηρεσία</w:t>
            </w:r>
            <w:r w:rsidRPr="0025283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Microsoft Office 365</w:t>
            </w:r>
          </w:p>
          <w:p w14:paraId="1404DCA7" w14:textId="77777777" w:rsidR="00252830" w:rsidRPr="00252830" w:rsidRDefault="00252830" w:rsidP="007E685B">
            <w:pPr>
              <w:snapToGri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75644">
              <w:rPr>
                <w:rFonts w:asciiTheme="minorHAnsi" w:hAnsiTheme="minorHAnsi" w:cstheme="minorHAnsi"/>
                <w:bCs/>
                <w:sz w:val="20"/>
                <w:szCs w:val="20"/>
              </w:rPr>
              <w:t>α</w:t>
            </w:r>
            <w:r w:rsidRPr="0025283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) </w:t>
            </w:r>
            <w:r w:rsidRPr="00B75644">
              <w:rPr>
                <w:rFonts w:asciiTheme="minorHAnsi" w:hAnsiTheme="minorHAnsi" w:cstheme="minorHAnsi"/>
                <w:bCs/>
                <w:sz w:val="20"/>
                <w:szCs w:val="20"/>
              </w:rPr>
              <w:t>Πενήντα</w:t>
            </w:r>
            <w:r w:rsidRPr="0025283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(50) </w:t>
            </w:r>
            <w:r w:rsidRPr="00B75644">
              <w:rPr>
                <w:rFonts w:asciiTheme="minorHAnsi" w:hAnsiTheme="minorHAnsi" w:cstheme="minorHAnsi"/>
                <w:bCs/>
                <w:sz w:val="20"/>
                <w:szCs w:val="20"/>
              </w:rPr>
              <w:t>άδεις</w:t>
            </w:r>
            <w:r w:rsidRPr="0025283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B75644">
              <w:rPr>
                <w:rFonts w:asciiTheme="minorHAnsi" w:hAnsiTheme="minorHAnsi" w:cstheme="minorHAnsi"/>
                <w:bCs/>
                <w:sz w:val="20"/>
                <w:szCs w:val="20"/>
              </w:rPr>
              <w:t>χρήσης</w:t>
            </w:r>
            <w:r w:rsidRPr="0025283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Microsoft Office 365 Business Essentials</w:t>
            </w:r>
          </w:p>
          <w:p w14:paraId="1991A70C" w14:textId="77777777" w:rsidR="00252830" w:rsidRPr="00252830" w:rsidRDefault="00252830" w:rsidP="007E685B">
            <w:pPr>
              <w:snapToGri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75644">
              <w:rPr>
                <w:rFonts w:asciiTheme="minorHAnsi" w:hAnsiTheme="minorHAnsi" w:cstheme="minorHAnsi"/>
                <w:bCs/>
                <w:sz w:val="20"/>
                <w:szCs w:val="20"/>
              </w:rPr>
              <w:t>β</w:t>
            </w:r>
            <w:r w:rsidRPr="0025283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) </w:t>
            </w:r>
            <w:r w:rsidRPr="00B75644">
              <w:rPr>
                <w:rFonts w:asciiTheme="minorHAnsi" w:hAnsiTheme="minorHAnsi" w:cstheme="minorHAnsi"/>
                <w:bCs/>
                <w:sz w:val="20"/>
                <w:szCs w:val="20"/>
              </w:rPr>
              <w:t>Είκοσι</w:t>
            </w:r>
            <w:r w:rsidRPr="0025283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(20) </w:t>
            </w:r>
            <w:r w:rsidRPr="00B75644">
              <w:rPr>
                <w:rFonts w:asciiTheme="minorHAnsi" w:hAnsiTheme="minorHAnsi" w:cstheme="minorHAnsi"/>
                <w:bCs/>
                <w:sz w:val="20"/>
                <w:szCs w:val="20"/>
              </w:rPr>
              <w:t>άδεις</w:t>
            </w:r>
            <w:r w:rsidRPr="0025283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B75644">
              <w:rPr>
                <w:rFonts w:asciiTheme="minorHAnsi" w:hAnsiTheme="minorHAnsi" w:cstheme="minorHAnsi"/>
                <w:bCs/>
                <w:sz w:val="20"/>
                <w:szCs w:val="20"/>
              </w:rPr>
              <w:t>χρήσης</w:t>
            </w:r>
            <w:r w:rsidRPr="0025283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Microsoft Office 365 Business Premium </w:t>
            </w:r>
          </w:p>
          <w:p w14:paraId="5F278D6D" w14:textId="77777777" w:rsidR="00C509DC" w:rsidRPr="00B75644" w:rsidRDefault="00C509DC" w:rsidP="00C509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B75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75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Φιλοξενία ( </w:t>
            </w:r>
            <w:proofErr w:type="spellStart"/>
            <w:r w:rsidRPr="00B75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hosting</w:t>
            </w:r>
            <w:proofErr w:type="spellEnd"/>
            <w:r w:rsidRPr="00B75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του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ιστοτόπου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του Αθήνα 984 (</w:t>
            </w:r>
            <w:hyperlink r:id="rId11" w:history="1">
              <w:r w:rsidRPr="00B75644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www.athina984.gr</w:t>
              </w:r>
            </w:hyperlink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B698A02" w14:textId="77777777" w:rsidR="00C509DC" w:rsidRPr="00B75644" w:rsidRDefault="00C509DC" w:rsidP="00C509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Με παροχή υπηρεσιών:</w:t>
            </w:r>
          </w:p>
          <w:p w14:paraId="6AE0286B" w14:textId="77777777" w:rsidR="00C509DC" w:rsidRPr="00B75644" w:rsidRDefault="00C509DC" w:rsidP="00C509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1) Εγκατάστασης, παραμετροποίησης &amp; μεταφοράς όλου του περιεχομένου στο νέο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server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φιλοξενίας.</w:t>
            </w:r>
          </w:p>
          <w:p w14:paraId="347B8BD4" w14:textId="77777777" w:rsidR="00C509DC" w:rsidRPr="00B75644" w:rsidRDefault="00C509DC" w:rsidP="00C509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2) Εγγυημένης διαθεσιμότητας του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server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και σταθερότητα της εφαρμογής (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Wordpress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, βάσης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κλπ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), ασφάλεια    συστήματος. </w:t>
            </w:r>
          </w:p>
          <w:p w14:paraId="02B020B5" w14:textId="77777777" w:rsidR="00C509DC" w:rsidRPr="00B75644" w:rsidRDefault="00C509DC" w:rsidP="00C509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3) Δυνατότητα αύξησης της χωρητικότητας (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Quota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) χώρου ανάλογα με τις ανάγκες του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(50gb σήμερα).</w:t>
            </w:r>
          </w:p>
          <w:p w14:paraId="39E36751" w14:textId="77777777" w:rsidR="00C509DC" w:rsidRPr="00B75644" w:rsidRDefault="00C509DC" w:rsidP="00C509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  <w:r w:rsidRPr="00B75644">
              <w:rPr>
                <w:rFonts w:asciiTheme="minorHAnsi" w:hAnsiTheme="minorHAnsi" w:cstheme="minorHAnsi"/>
              </w:rPr>
              <w:t xml:space="preserve"> </w:t>
            </w: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Ημερήσια δημιουργία αντιγράφων ασφαλείας (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Backup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63FF64AB" w14:textId="77777777" w:rsidR="00C509DC" w:rsidRPr="00B75644" w:rsidRDefault="00C509DC" w:rsidP="00C509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5) Τεχνική υποστήριξη του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server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&amp; της εφαρμογής (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Wordpress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) που θα περιλαμβάνει εργασίες όπως αναβαθμίσεις (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updates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upgrades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) των εκδόσεων του λειτουργικού, του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wordpress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, της βάσης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κλπ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, καθώς και προληπτική συντήρηση όλων των παραπάνω.</w:t>
            </w:r>
          </w:p>
          <w:p w14:paraId="57C5E796" w14:textId="77777777" w:rsidR="00C509DC" w:rsidRPr="00B75644" w:rsidRDefault="00C509DC" w:rsidP="00C509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6) Επίσης απόκριση τεχνικού σε δυσλειτουργίες / τεχνικά προβλήματα της εφαρμογής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Wordpress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 xml:space="preserve">, και σε δυσλειτουργίες / τεχνικά προβλήματα του </w:t>
            </w:r>
            <w:proofErr w:type="spellStart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webserver</w:t>
            </w:r>
            <w:proofErr w:type="spellEnd"/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E523BCF" w14:textId="77777777" w:rsidR="00C509DC" w:rsidRPr="00C509DC" w:rsidRDefault="00C509DC" w:rsidP="00C509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509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7) Redirection </w:t>
            </w: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του</w:t>
            </w:r>
            <w:r w:rsidRPr="00C509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domain athina984fm.gr </w:t>
            </w: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στο</w:t>
            </w:r>
            <w:r w:rsidRPr="00C509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domain athina984.gr.</w:t>
            </w:r>
          </w:p>
          <w:p w14:paraId="13CD57A2" w14:textId="77777777" w:rsidR="00C509DC" w:rsidRPr="00C509DC" w:rsidRDefault="00C509DC" w:rsidP="00C509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509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8) Analytics General - </w:t>
            </w: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για</w:t>
            </w:r>
            <w:r w:rsidRPr="00C509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χρήση</w:t>
            </w:r>
            <w:r w:rsidRPr="00C509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του</w:t>
            </w:r>
            <w:r w:rsidRPr="00C509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domain athina984.gr.</w:t>
            </w:r>
          </w:p>
          <w:p w14:paraId="47A796C0" w14:textId="77777777" w:rsidR="00C509DC" w:rsidRPr="00C509DC" w:rsidRDefault="00C509DC" w:rsidP="00C509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509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9) Virus Scanning – </w:t>
            </w: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για</w:t>
            </w:r>
            <w:r w:rsidRPr="00C509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το</w:t>
            </w:r>
            <w:r w:rsidRPr="00C509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domain athina984.gr.</w:t>
            </w:r>
          </w:p>
          <w:p w14:paraId="034F26BC" w14:textId="6601318F" w:rsidR="00C509DC" w:rsidRPr="00B75644" w:rsidRDefault="00C509DC" w:rsidP="00C509D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F108594">
              <w:rPr>
                <w:rFonts w:asciiTheme="minorHAnsi" w:hAnsiTheme="minorHAnsi" w:cstheme="minorBidi"/>
                <w:sz w:val="20"/>
                <w:szCs w:val="20"/>
              </w:rPr>
              <w:t xml:space="preserve">10)) Παροχή 165 εταιρικών λογαριασμών email  χωρητικότητας 2GB για το </w:t>
            </w:r>
            <w:proofErr w:type="spellStart"/>
            <w:r w:rsidRPr="0F108594">
              <w:rPr>
                <w:rFonts w:asciiTheme="minorHAnsi" w:hAnsiTheme="minorHAnsi" w:cstheme="minorBidi"/>
                <w:sz w:val="20"/>
                <w:szCs w:val="20"/>
              </w:rPr>
              <w:t>domain</w:t>
            </w:r>
            <w:proofErr w:type="spellEnd"/>
            <w:r w:rsidRPr="0F108594">
              <w:rPr>
                <w:rFonts w:asciiTheme="minorHAnsi" w:hAnsiTheme="minorHAnsi" w:cstheme="minorBidi"/>
                <w:sz w:val="20"/>
                <w:szCs w:val="20"/>
              </w:rPr>
              <w:t xml:space="preserve"> athina984.gr με δυνατότητα      επαύξησης</w:t>
            </w:r>
            <w:r w:rsidR="0F108594" w:rsidRPr="0F108594">
              <w:rPr>
                <w:rFonts w:asciiTheme="minorHAnsi" w:hAnsiTheme="minorHAnsi" w:cstheme="minorBidi"/>
                <w:sz w:val="20"/>
                <w:szCs w:val="20"/>
              </w:rPr>
              <w:t xml:space="preserve"> του πλήθους των λογαριασμών</w:t>
            </w:r>
            <w:r w:rsidRPr="0F108594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0E8DABC1" w14:textId="77777777" w:rsidR="00C509DC" w:rsidRPr="00B75644" w:rsidRDefault="00C509DC" w:rsidP="00C509DC">
            <w:pPr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5644">
              <w:rPr>
                <w:rFonts w:asciiTheme="minorHAnsi" w:hAnsiTheme="minorHAnsi" w:cstheme="minorHAnsi"/>
                <w:sz w:val="20"/>
                <w:szCs w:val="20"/>
              </w:rPr>
              <w:t>Διάρκεια: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22/10/2019 έως 22/10/2020</w:t>
            </w:r>
          </w:p>
          <w:p w14:paraId="7B4C535C" w14:textId="77777777" w:rsidR="00C509DC" w:rsidRPr="00B75644" w:rsidRDefault="00C509DC" w:rsidP="00C509DC">
            <w:pPr>
              <w:snapToGrid w:val="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 </w:t>
            </w:r>
            <w:r w:rsidRPr="00B756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Τηλεφωνική υποστήριξη για όλες τις υπηρεσίες της </w:t>
            </w:r>
            <w:r w:rsidRPr="00B756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τεχνικής προσφοράς</w:t>
            </w:r>
          </w:p>
          <w:p w14:paraId="3A26FCB0" w14:textId="4BCB5F5F" w:rsidR="00C509DC" w:rsidRDefault="00C509DC" w:rsidP="00C509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F108594">
              <w:rPr>
                <w:rFonts w:asciiTheme="minorHAnsi" w:hAnsiTheme="minorHAnsi" w:cstheme="minorBidi"/>
                <w:sz w:val="20"/>
                <w:szCs w:val="20"/>
              </w:rPr>
              <w:t>Διάρκεια:</w:t>
            </w:r>
            <w:r w:rsidRPr="0F108594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 22/10/2019 έως 22/10/2020</w:t>
            </w:r>
          </w:p>
          <w:p w14:paraId="5F97E6F6" w14:textId="05F19A6A" w:rsidR="0F108594" w:rsidRDefault="0F108594" w:rsidP="0F108594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73E524C1" w14:textId="028F1B37" w:rsidR="00252830" w:rsidRPr="00C509DC" w:rsidRDefault="0F108594" w:rsidP="00C509DC">
            <w:pPr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F10859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3. </w:t>
            </w:r>
            <w:r w:rsidR="00C509DC" w:rsidRPr="0F108594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 Εγγυημένο χρονοδιάγραμμα υλοποίησης από την υπογραφή της σύμβασης έως δώδεκα (12) εβδομάδες παράδοση υπηρεσιών το αργότερο  </w:t>
            </w:r>
            <w:r w:rsidRPr="0F10859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21</w:t>
            </w:r>
            <w:r w:rsidR="00C509DC" w:rsidRPr="0F108594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 Οκτωβρίου 2019.</w:t>
            </w:r>
          </w:p>
        </w:tc>
      </w:tr>
      <w:bookmarkEnd w:id="3"/>
    </w:tbl>
    <w:p w14:paraId="4E6823ED" w14:textId="60916493" w:rsidR="00252830" w:rsidRDefault="00252830" w:rsidP="00252830"/>
    <w:p w14:paraId="6CE09221" w14:textId="77777777" w:rsidR="00081FA5" w:rsidRPr="00081FA5" w:rsidRDefault="00081FA5" w:rsidP="00081FA5">
      <w:pPr>
        <w:spacing w:after="0" w:line="240" w:lineRule="auto"/>
        <w:jc w:val="both"/>
        <w:rPr>
          <w:rFonts w:cs="Calibri"/>
        </w:rPr>
      </w:pPr>
      <w:r w:rsidRPr="00081FA5">
        <w:rPr>
          <w:rFonts w:cs="Calibri"/>
        </w:rPr>
        <w:t>Διευκρινίζεται, ότι η παρούσα ΔΕΝ αποτελεί πρόσκληση για την υποβολή προσφορών, ούτε δεσμεύεται με αυτήν η Επιχείρηση ότι θα προβεί οπωσδήποτε στην ανάθεση των υπηρεσιών. Ανάλογα με τα αποτελέσματά της, μπορεί να αποτελέσει τη βάση διαβούλευσης με έναν ή περισσότερους οικονομικούς φορείς, η οποία ενδέχεται να καταλήξει σε απευθείας ανάθεση των υπηρεσιών.</w:t>
      </w:r>
    </w:p>
    <w:p w14:paraId="7E52DE24" w14:textId="2AD56E20" w:rsidR="00081FA5" w:rsidRPr="00081FA5" w:rsidRDefault="00081FA5" w:rsidP="00081FA5">
      <w:pPr>
        <w:spacing w:after="0" w:line="240" w:lineRule="auto"/>
        <w:jc w:val="both"/>
        <w:rPr>
          <w:rFonts w:cs="Calibri"/>
        </w:rPr>
      </w:pPr>
      <w:r w:rsidRPr="00081FA5">
        <w:rPr>
          <w:rFonts w:cs="Calibri"/>
        </w:rPr>
        <w:t xml:space="preserve">Παρακαλούνται οι ενδιαφερόμενοι οικονομικοί φορείς να στείλουν τις οικονομικές τους προτάσεις σε συνημμένο αρχείο με τον τίτλο </w:t>
      </w:r>
      <w:r w:rsidRPr="00081FA5">
        <w:rPr>
          <w:rStyle w:val="normaltextrun"/>
          <w:rFonts w:cs="Calibri"/>
          <w:b/>
          <w:bCs/>
          <w:color w:val="000000"/>
          <w:shd w:val="clear" w:color="auto" w:fill="FFFFFF"/>
        </w:rPr>
        <w:t>«προμήθεια υπηρεσιών</w:t>
      </w:r>
      <w:r w:rsidRPr="00081FA5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Pr="00081FA5">
        <w:rPr>
          <w:rStyle w:val="normaltextrun"/>
          <w:rFonts w:cs="Calibri"/>
          <w:b/>
          <w:bCs/>
          <w:color w:val="000000"/>
          <w:shd w:val="clear" w:color="auto" w:fill="FFFFFF"/>
        </w:rPr>
        <w:t xml:space="preserve"> Τηλεπικοινωνίας: α) σταθερής τηλεφωνίας, β) διαδικτύου, γ) κινητής τηλεφωνίας. Φιλοξενίας &amp; υποστήριξης του </w:t>
      </w:r>
      <w:proofErr w:type="spellStart"/>
      <w:r w:rsidRPr="00081FA5">
        <w:rPr>
          <w:rStyle w:val="normaltextrun"/>
          <w:rFonts w:eastAsia="Cambria" w:cs="Calibri"/>
          <w:b/>
          <w:bCs/>
          <w:color w:val="000000"/>
          <w:shd w:val="clear" w:color="auto" w:fill="FFFFFF"/>
        </w:rPr>
        <w:t>ιστότοπου</w:t>
      </w:r>
      <w:proofErr w:type="spellEnd"/>
      <w:r w:rsidRPr="00081FA5">
        <w:rPr>
          <w:rStyle w:val="normaltextrun"/>
          <w:rFonts w:cs="Calibri"/>
          <w:b/>
          <w:bCs/>
          <w:color w:val="000000"/>
          <w:shd w:val="clear" w:color="auto" w:fill="FFFFFF"/>
        </w:rPr>
        <w:t> www.athina984.gr, </w:t>
      </w:r>
      <w:proofErr w:type="spellStart"/>
      <w:r w:rsidRPr="00081FA5">
        <w:rPr>
          <w:rStyle w:val="normaltextrun"/>
          <w:rFonts w:eastAsia="Cambria" w:cs="Calibri"/>
          <w:b/>
          <w:bCs/>
          <w:color w:val="000000"/>
          <w:shd w:val="clear" w:color="auto" w:fill="FFFFFF"/>
        </w:rPr>
        <w:t>mail</w:t>
      </w:r>
      <w:proofErr w:type="spellEnd"/>
      <w:r w:rsidRPr="00081FA5">
        <w:rPr>
          <w:rStyle w:val="normaltextrun"/>
          <w:rFonts w:cs="Calibri"/>
          <w:b/>
          <w:bCs/>
          <w:color w:val="000000"/>
          <w:shd w:val="clear" w:color="auto" w:fill="FFFFFF"/>
        </w:rPr>
        <w:t>, αδειών χρήσης Microsoft </w:t>
      </w:r>
      <w:proofErr w:type="spellStart"/>
      <w:r w:rsidRPr="00081FA5">
        <w:rPr>
          <w:rStyle w:val="normaltextrun"/>
          <w:rFonts w:eastAsia="Cambria" w:cs="Calibri"/>
          <w:b/>
          <w:bCs/>
          <w:color w:val="000000"/>
          <w:shd w:val="clear" w:color="auto" w:fill="FFFFFF"/>
        </w:rPr>
        <w:t>office</w:t>
      </w:r>
      <w:proofErr w:type="spellEnd"/>
      <w:r w:rsidRPr="00081FA5">
        <w:rPr>
          <w:rStyle w:val="normaltextrun"/>
          <w:rFonts w:cs="Calibri"/>
          <w:b/>
          <w:bCs/>
          <w:color w:val="000000"/>
          <w:shd w:val="clear" w:color="auto" w:fill="FFFFFF"/>
        </w:rPr>
        <w:t> 365   για ένα έτος από την 22η Οκτωβρίου 2019 έως την 22η Οκτωβρίου 2020</w:t>
      </w:r>
      <w:r w:rsidRPr="00081FA5">
        <w:rPr>
          <w:rStyle w:val="normaltextrun"/>
          <w:b/>
          <w:bCs/>
          <w:color w:val="000000"/>
          <w:shd w:val="clear" w:color="auto" w:fill="FFFFFF"/>
        </w:rPr>
        <w:t>»</w:t>
      </w:r>
      <w:r w:rsidRPr="00081FA5">
        <w:rPr>
          <w:rFonts w:cs="Calibri"/>
        </w:rPr>
        <w:t xml:space="preserve"> το οποίο θα μπορούν να αποστείλουν από σήμερα 27/06/2019 έως και ώρα 14:00 της </w:t>
      </w:r>
      <w:r>
        <w:rPr>
          <w:rFonts w:cs="Calibri"/>
        </w:rPr>
        <w:t>Παρασκευή</w:t>
      </w:r>
      <w:r w:rsidRPr="00081FA5">
        <w:rPr>
          <w:rFonts w:cs="Calibri"/>
        </w:rPr>
        <w:t xml:space="preserve"> 0</w:t>
      </w:r>
      <w:r w:rsidR="00407404">
        <w:rPr>
          <w:rFonts w:cs="Calibri"/>
        </w:rPr>
        <w:t>5</w:t>
      </w:r>
      <w:r w:rsidRPr="00081FA5">
        <w:rPr>
          <w:rFonts w:cs="Calibri"/>
        </w:rPr>
        <w:t>/07/2019.</w:t>
      </w:r>
    </w:p>
    <w:p w14:paraId="44CC4E31" w14:textId="77777777" w:rsidR="00081FA5" w:rsidRPr="00C509DC" w:rsidRDefault="00081FA5" w:rsidP="00252830"/>
    <w:sectPr w:rsidR="00081FA5" w:rsidRPr="00C509DC" w:rsidSect="00252830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A2A06"/>
    <w:multiLevelType w:val="hybridMultilevel"/>
    <w:tmpl w:val="D272E4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24D1"/>
    <w:multiLevelType w:val="hybridMultilevel"/>
    <w:tmpl w:val="1AFEDACE"/>
    <w:lvl w:ilvl="0" w:tplc="9F064C36">
      <w:start w:val="1"/>
      <w:numFmt w:val="decimal"/>
      <w:lvlText w:val="%1."/>
      <w:lvlJc w:val="left"/>
      <w:pPr>
        <w:ind w:left="720" w:hanging="360"/>
      </w:pPr>
    </w:lvl>
    <w:lvl w:ilvl="1" w:tplc="0B7E2DEC">
      <w:start w:val="1"/>
      <w:numFmt w:val="lowerLetter"/>
      <w:lvlText w:val="%2."/>
      <w:lvlJc w:val="left"/>
      <w:pPr>
        <w:ind w:left="1440" w:hanging="360"/>
      </w:pPr>
    </w:lvl>
    <w:lvl w:ilvl="2" w:tplc="FF5E4FE4">
      <w:start w:val="1"/>
      <w:numFmt w:val="lowerRoman"/>
      <w:lvlText w:val="%3."/>
      <w:lvlJc w:val="right"/>
      <w:pPr>
        <w:ind w:left="2160" w:hanging="180"/>
      </w:pPr>
    </w:lvl>
    <w:lvl w:ilvl="3" w:tplc="4DB0EF10">
      <w:start w:val="1"/>
      <w:numFmt w:val="decimal"/>
      <w:lvlText w:val="%4."/>
      <w:lvlJc w:val="left"/>
      <w:pPr>
        <w:ind w:left="2880" w:hanging="360"/>
      </w:pPr>
    </w:lvl>
    <w:lvl w:ilvl="4" w:tplc="C89ED916">
      <w:start w:val="1"/>
      <w:numFmt w:val="lowerLetter"/>
      <w:lvlText w:val="%5."/>
      <w:lvlJc w:val="left"/>
      <w:pPr>
        <w:ind w:left="3600" w:hanging="360"/>
      </w:pPr>
    </w:lvl>
    <w:lvl w:ilvl="5" w:tplc="DC8A1D0E">
      <w:start w:val="1"/>
      <w:numFmt w:val="lowerRoman"/>
      <w:lvlText w:val="%6."/>
      <w:lvlJc w:val="right"/>
      <w:pPr>
        <w:ind w:left="4320" w:hanging="180"/>
      </w:pPr>
    </w:lvl>
    <w:lvl w:ilvl="6" w:tplc="277C4BDE">
      <w:start w:val="1"/>
      <w:numFmt w:val="decimal"/>
      <w:lvlText w:val="%7."/>
      <w:lvlJc w:val="left"/>
      <w:pPr>
        <w:ind w:left="5040" w:hanging="360"/>
      </w:pPr>
    </w:lvl>
    <w:lvl w:ilvl="7" w:tplc="D338B7E8">
      <w:start w:val="1"/>
      <w:numFmt w:val="lowerLetter"/>
      <w:lvlText w:val="%8."/>
      <w:lvlJc w:val="left"/>
      <w:pPr>
        <w:ind w:left="5760" w:hanging="360"/>
      </w:pPr>
    </w:lvl>
    <w:lvl w:ilvl="8" w:tplc="E4DC85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53537"/>
    <w:multiLevelType w:val="hybridMultilevel"/>
    <w:tmpl w:val="7B4C8680"/>
    <w:lvl w:ilvl="0" w:tplc="BA1EB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10581"/>
    <w:multiLevelType w:val="hybridMultilevel"/>
    <w:tmpl w:val="0B9A9484"/>
    <w:lvl w:ilvl="0" w:tplc="58D0A01E">
      <w:numFmt w:val="bullet"/>
      <w:lvlText w:val="•"/>
      <w:lvlJc w:val="left"/>
      <w:pPr>
        <w:ind w:left="1080" w:hanging="720"/>
      </w:pPr>
      <w:rPr>
        <w:rFonts w:ascii="Verdana" w:eastAsia="Cambria" w:hAnsi="Verdana" w:cs="Cambri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637C5"/>
    <w:multiLevelType w:val="hybridMultilevel"/>
    <w:tmpl w:val="BFE2D9A2"/>
    <w:lvl w:ilvl="0" w:tplc="BA1EB696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 w:val="0"/>
      </w:rPr>
    </w:lvl>
    <w:lvl w:ilvl="1" w:tplc="0408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7EF13E5D"/>
    <w:multiLevelType w:val="hybridMultilevel"/>
    <w:tmpl w:val="E74CF264"/>
    <w:lvl w:ilvl="0" w:tplc="BA1EB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15"/>
    <w:rsid w:val="00081FA5"/>
    <w:rsid w:val="00252830"/>
    <w:rsid w:val="00407404"/>
    <w:rsid w:val="007E685B"/>
    <w:rsid w:val="009427B2"/>
    <w:rsid w:val="00944BD1"/>
    <w:rsid w:val="00961215"/>
    <w:rsid w:val="00A56122"/>
    <w:rsid w:val="00C509DC"/>
    <w:rsid w:val="00F53673"/>
    <w:rsid w:val="0F108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EDF2"/>
  <w15:chartTrackingRefBased/>
  <w15:docId w15:val="{3B5C74CE-21A0-4492-B2F2-EB4828F8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830"/>
    <w:pPr>
      <w:spacing w:line="25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nhideWhenUsed/>
    <w:rsid w:val="00252830"/>
    <w:rPr>
      <w:color w:val="0563C1"/>
      <w:u w:val="single"/>
    </w:rPr>
  </w:style>
  <w:style w:type="character" w:customStyle="1" w:styleId="normaltextrun">
    <w:name w:val="normaltextrun"/>
    <w:rsid w:val="00252830"/>
  </w:style>
  <w:style w:type="character" w:customStyle="1" w:styleId="spellingerror">
    <w:name w:val="spellingerror"/>
    <w:rsid w:val="00252830"/>
  </w:style>
  <w:style w:type="paragraph" w:styleId="a3">
    <w:name w:val="List Paragraph"/>
    <w:basedOn w:val="a"/>
    <w:uiPriority w:val="34"/>
    <w:qFormat/>
    <w:rsid w:val="00A56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ina984.gr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thina984.gr" TargetMode="External"/><Relationship Id="rId5" Type="http://schemas.openxmlformats.org/officeDocument/2006/relationships/styles" Target="styles.xml"/><Relationship Id="rId10" Type="http://schemas.openxmlformats.org/officeDocument/2006/relationships/hyperlink" Target="mailto:mail@athina984.gr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oikonomikes_protaseis@athina984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C115F2B876242B2AADBA084216A02" ma:contentTypeVersion="4" ma:contentTypeDescription="Create a new document." ma:contentTypeScope="" ma:versionID="1515ae60416bb6fc123d79c306ed1ab4">
  <xsd:schema xmlns:xsd="http://www.w3.org/2001/XMLSchema" xmlns:xs="http://www.w3.org/2001/XMLSchema" xmlns:p="http://schemas.microsoft.com/office/2006/metadata/properties" xmlns:ns2="17efe552-89d5-4289-871a-827e86d46380" targetNamespace="http://schemas.microsoft.com/office/2006/metadata/properties" ma:root="true" ma:fieldsID="ec6d71e794468d902f9603a4edf798c1" ns2:_="">
    <xsd:import namespace="17efe552-89d5-4289-871a-827e86d46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fe552-89d5-4289-871a-827e86d46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314AF-969D-4937-BF2C-A51EFD78E9B6}">
  <ds:schemaRefs>
    <ds:schemaRef ds:uri="http://schemas.microsoft.com/office/2006/metadata/properties"/>
    <ds:schemaRef ds:uri="17efe552-89d5-4289-871a-827e86d4638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DDC1292-8D30-43DC-AE04-8331F5115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6C66C-0FAB-4138-A49D-D63B23ACC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fe552-89d5-4289-871a-827e86d46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2328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Γιώργος Αποστολόπουλος</dc:creator>
  <cp:keywords/>
  <dc:description/>
  <cp:lastModifiedBy>Κωνσταντίνος Σιούμπουρας</cp:lastModifiedBy>
  <cp:revision>2</cp:revision>
  <dcterms:created xsi:type="dcterms:W3CDTF">2019-06-28T10:18:00Z</dcterms:created>
  <dcterms:modified xsi:type="dcterms:W3CDTF">2019-06-28T10:18:00Z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0x010100CEDC115F2B876242B2AADBA084216A02</vt:lpwstr>
  </property>
</Properties>
</file>